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2F2" w:rsidP="009C42F2" w:rsidRDefault="00EB5E32" w14:paraId="45F33E9D" w14:textId="77777777">
      <w:pPr>
        <w:jc w:val="center"/>
        <w:rPr>
          <w:b/>
          <w:bCs/>
          <w:u w:val="single"/>
        </w:rPr>
      </w:pPr>
      <w:r>
        <w:rPr>
          <w:b/>
          <w:bCs/>
          <w:u w:val="single"/>
        </w:rPr>
        <w:t>REQUEST FOR EXTENSION OF DIGITAL CONSTRUCTION PERMIT</w:t>
      </w:r>
      <w:r w:rsidR="009C42F2">
        <w:rPr>
          <w:b/>
          <w:bCs/>
          <w:u w:val="single"/>
        </w:rPr>
        <w:br/>
      </w:r>
      <w:r w:rsidR="009C42F2">
        <w:rPr>
          <w:b/>
          <w:bCs/>
          <w:u w:val="single"/>
        </w:rPr>
        <w:t>AND AUTHORITY TO TEMPORARILY CONTINUE ANALOG OPERATIONS</w:t>
      </w:r>
    </w:p>
    <w:p w:rsidR="00EB5E32" w:rsidP="00EB5E32" w:rsidRDefault="00EB5E32" w14:paraId="1D9BE52A" w14:textId="7B9C2CDF">
      <w:r>
        <w:tab/>
        <w:t>Venture Technologies Group LLC (“VTG”), licensee of low power television station KZNO-LP and permittee of digital low power television station KZNO-L</w:t>
      </w:r>
      <w:r w:rsidR="008B75B4">
        <w:t>D (the “Station”),</w:t>
      </w:r>
      <w:r>
        <w:t xml:space="preserve"> respectfully requests a 180-day extension of its construction permit to allow it to complete construction of its digital facility</w:t>
      </w:r>
      <w:r w:rsidR="008B75B4">
        <w:t xml:space="preserve"> through and including January 10, 2022</w:t>
      </w:r>
      <w:r>
        <w:t>.</w:t>
      </w:r>
      <w:r w:rsidR="008B75B4">
        <w:rPr>
          <w:rStyle w:val="FootnoteReference"/>
        </w:rPr>
        <w:footnoteReference w:id="1"/>
      </w:r>
      <w:r w:rsidR="009C42F2">
        <w:t xml:space="preserve"> </w:t>
      </w:r>
      <w:r w:rsidR="009C42F2">
        <w:t>VTG also requests authority to continue analog operations until it has completed construction of its digital facilities.</w:t>
      </w:r>
      <w:bookmarkStart w:name="_GoBack" w:id="0"/>
      <w:bookmarkEnd w:id="0"/>
    </w:p>
    <w:p w:rsidR="008B75B4" w:rsidP="00EB5E32" w:rsidRDefault="008B75B4" w14:paraId="13E24845" w14:textId="3CAAF1D2">
      <w:r>
        <w:tab/>
        <w:t xml:space="preserve">In the </w:t>
      </w:r>
      <w:r w:rsidRPr="000D7CF0" w:rsidR="000D7CF0">
        <w:rPr>
          <w:i/>
          <w:iCs/>
        </w:rPr>
        <w:t>LPTV DTV Third R&amp;O</w:t>
      </w:r>
      <w:r w:rsidR="000D7CF0">
        <w:t>, the FCC established a fixed construction deadline/expiration date for all valid outstanding digital construction permits held by analog LPTV and TV translator stations on the date twelve months after the completion of the 39-month Post-Auction Transition Period.</w:t>
      </w:r>
      <w:r w:rsidR="000D7CF0">
        <w:rPr>
          <w:rStyle w:val="FootnoteReference"/>
        </w:rPr>
        <w:footnoteReference w:id="2"/>
      </w:r>
      <w:r w:rsidR="000D7CF0">
        <w:t xml:space="preserve"> </w:t>
      </w:r>
      <w:r w:rsidR="008C4045">
        <w:t xml:space="preserve">At the same time, the Commission </w:t>
      </w:r>
      <w:r w:rsidR="00EA1AE4">
        <w:t xml:space="preserve">indicated that </w:t>
      </w:r>
      <w:r w:rsidR="00717B0C">
        <w:t>L</w:t>
      </w:r>
      <w:r w:rsidR="00EA1AE4">
        <w:t>PTV and TV translator stations may seek one last extension of time of up to six months to complete construction.</w:t>
      </w:r>
      <w:r w:rsidR="00EA1AE4">
        <w:rPr>
          <w:rStyle w:val="FootnoteReference"/>
        </w:rPr>
        <w:footnoteReference w:id="3"/>
      </w:r>
      <w:r w:rsidR="00364330">
        <w:t xml:space="preserve"> In seeking an extension, stations must show that the delay was due to circumstances that were either unforeseeable or beyond their control or due to financial hardship and that they have taken all reasonable steps to resolve the problem.</w:t>
      </w:r>
      <w:r w:rsidR="00364330">
        <w:rPr>
          <w:rStyle w:val="FootnoteReference"/>
        </w:rPr>
        <w:footnoteReference w:id="4"/>
      </w:r>
    </w:p>
    <w:p w:rsidR="00BE4A75" w:rsidP="00BE4A75" w:rsidRDefault="00C3270E" w14:paraId="07719698" w14:textId="7B5CC2E5">
      <w:r>
        <w:tab/>
        <w:t xml:space="preserve">Since that time, a number of factors </w:t>
      </w:r>
      <w:r w:rsidR="00374D47">
        <w:t xml:space="preserve">that were unforeseeable and beyond VTG’s control </w:t>
      </w:r>
      <w:r>
        <w:t xml:space="preserve">have contributed to </w:t>
      </w:r>
      <w:r w:rsidR="00374D47">
        <w:t>VTG’s inability to complete</w:t>
      </w:r>
      <w:r>
        <w:t xml:space="preserve"> the buildout of </w:t>
      </w:r>
      <w:r w:rsidR="00374D47">
        <w:t>the Station’s digital facilities. First, COVID</w:t>
      </w:r>
      <w:r w:rsidR="000D6A1A">
        <w:t>-19 has wreaked havoc both on the end of the 39</w:t>
      </w:r>
      <w:r w:rsidR="004D78EB">
        <w:t>-</w:t>
      </w:r>
      <w:r w:rsidR="000D6A1A">
        <w:t>month Post-Auction Transition Period and the supply chain for digital LPTV equipment.</w:t>
      </w:r>
      <w:r w:rsidR="000D6A1A">
        <w:rPr>
          <w:rStyle w:val="FootnoteReference"/>
        </w:rPr>
        <w:footnoteReference w:id="5"/>
      </w:r>
      <w:r w:rsidR="004510C3">
        <w:t xml:space="preserve"> </w:t>
      </w:r>
      <w:r w:rsidR="00717B0C">
        <w:t xml:space="preserve">As a result both of the </w:t>
      </w:r>
      <w:r w:rsidR="004510C3">
        <w:t xml:space="preserve">delays in the full power transition and COVID-19 related issues, equipment suppliers have experienced unexpected backlogs. </w:t>
      </w:r>
      <w:r w:rsidR="00621CCC">
        <w:t>In the meantime, LPTV stations operating on channel 6 have remained in limbo awaiting guidance from the FCC about whether they can “operate analog FM radio type services on an ancillary or supplementary basis”—an issue first raised in a 2014 notice of proposed rulemaking.</w:t>
      </w:r>
      <w:r w:rsidR="00621CCC">
        <w:rPr>
          <w:rStyle w:val="FootnoteReference"/>
        </w:rPr>
        <w:footnoteReference w:id="6"/>
      </w:r>
    </w:p>
    <w:p w:rsidR="00C3270E" w:rsidP="00EB5E32" w:rsidRDefault="00C3270E" w14:paraId="00F99384" w14:textId="7876FA69"/>
    <w:p w:rsidR="00E23C1C" w:rsidP="00900F76" w:rsidRDefault="00503DA0" w14:paraId="76096DBA" w14:textId="43FDD3F4">
      <w:r>
        <w:tab/>
      </w:r>
      <w:r w:rsidR="000436F2">
        <w:t xml:space="preserve">As to the specific circumstances affecting the Station, </w:t>
      </w:r>
      <w:r w:rsidR="00E23C1C">
        <w:t xml:space="preserve">VTG’s transition plan involves a </w:t>
      </w:r>
      <w:r w:rsidR="00900F76">
        <w:t xml:space="preserve">“flash cut” to ATSC 3.0. By converting directly to ATSC 3.0, VTG will avoid the </w:t>
      </w:r>
      <w:r>
        <w:t>“double build” scenario</w:t>
      </w:r>
      <w:r w:rsidR="00900F76">
        <w:t xml:space="preserve"> that the Commission has recognized would otherwise be problematic for LPTV stations.</w:t>
      </w:r>
      <w:r w:rsidR="00215129">
        <w:rPr>
          <w:rStyle w:val="FootnoteReference"/>
        </w:rPr>
        <w:footnoteReference w:id="7"/>
      </w:r>
      <w:r w:rsidR="00215129">
        <w:t xml:space="preserve"> </w:t>
      </w:r>
      <w:r w:rsidR="00900F76">
        <w:t xml:space="preserve">However, </w:t>
      </w:r>
      <w:r w:rsidR="00BE4A75">
        <w:t>the FCC did not adopt its rules incorporating the ATSC A/322:2017 standard</w:t>
      </w:r>
      <w:r w:rsidR="00E23C1C">
        <w:t xml:space="preserve"> </w:t>
      </w:r>
      <w:r w:rsidR="00BE4A75">
        <w:t>until November 2017,</w:t>
      </w:r>
      <w:r w:rsidR="00BE4A75">
        <w:rPr>
          <w:rStyle w:val="FootnoteReference"/>
        </w:rPr>
        <w:footnoteReference w:id="8"/>
      </w:r>
      <w:r w:rsidR="00BE4A75">
        <w:t xml:space="preserve"> and compatible transmission systems have only recently become available. </w:t>
      </w:r>
      <w:r w:rsidR="00E23C1C">
        <w:t>The initial focus of</w:t>
      </w:r>
      <w:r w:rsidR="00AC302B">
        <w:t xml:space="preserve"> manufacturers was on UHF</w:t>
      </w:r>
      <w:r w:rsidR="00E23C1C">
        <w:t xml:space="preserve"> applications</w:t>
      </w:r>
      <w:r w:rsidR="00AC302B">
        <w:t>, and m</w:t>
      </w:r>
      <w:r w:rsidR="00900F76">
        <w:t xml:space="preserve">anufacturing of low band ATSC 3.0 transmission systems remains extremely delayed. </w:t>
      </w:r>
    </w:p>
    <w:p w:rsidR="003D21A9" w:rsidP="00AC4656" w:rsidRDefault="00900F76" w14:paraId="069788CC" w14:textId="77B26B40">
      <w:pPr>
        <w:ind w:firstLine="720"/>
      </w:pPr>
      <w:r>
        <w:t>VTG has installed the antenna and line for the Station’s new transmission system</w:t>
      </w:r>
      <w:r w:rsidR="00FE6DCB">
        <w:t xml:space="preserve">, and current manufacturing estimates would result in delivery of the transmitter and related equipment in June 2021. Under this timeline, </w:t>
      </w:r>
      <w:r w:rsidR="00BE4A75">
        <w:t>the Station</w:t>
      </w:r>
      <w:r w:rsidR="00FE6DCB">
        <w:t xml:space="preserve"> might be able to co</w:t>
      </w:r>
      <w:r w:rsidR="00BE4A75">
        <w:t xml:space="preserve">mplete its conversion to digital by the July 13, 2021 deadline. </w:t>
      </w:r>
      <w:r w:rsidR="00FE6DCB">
        <w:t>However, VTG is anticipating significant COVID-19-related delays based on its recent experience with orders of low band transmission systems. Accordingly, VTG seek</w:t>
      </w:r>
      <w:r w:rsidR="00BE4A75">
        <w:t>s</w:t>
      </w:r>
      <w:r w:rsidR="00FE6DCB">
        <w:t xml:space="preserve"> this extension o</w:t>
      </w:r>
      <w:r w:rsidR="00E23C1C">
        <w:t>ut of</w:t>
      </w:r>
      <w:r w:rsidR="00FE6DCB">
        <w:t xml:space="preserve"> an abundance of caution.</w:t>
      </w:r>
      <w:r w:rsidR="00FC4092">
        <w:t xml:space="preserve"> The extension is in the public interest because it will allow the Station to achieve the Commission’s goal of providing digital service to viewers in the Station’s service area.</w:t>
      </w:r>
    </w:p>
    <w:p w:rsidRPr="000D7CF0" w:rsidR="00AE72CC" w:rsidP="00AE72CC" w:rsidRDefault="00621CCC" w14:paraId="2A84D337" w14:textId="77777777">
      <w:pPr>
        <w:ind w:firstLine="720"/>
      </w:pPr>
      <w:r>
        <w:t>To the extent necessary, VTG also respectfully requests special temporary authority and/or a waiver of Section 74.731(m), 47 CFR § 74.731(m), to allow the Station to continue serving the public while it completes construction of its digital facilities. The purpose of the analog cut off date is “to ensure that analog LPTV and TV translator stations take all steps necessary to complete their digital construction in a timely manner.”</w:t>
      </w:r>
      <w:r>
        <w:rPr>
          <w:rStyle w:val="FootnoteReference"/>
        </w:rPr>
        <w:footnoteReference w:id="9"/>
      </w:r>
      <w:r>
        <w:t xml:space="preserve"> VTG is already working diligently to complete its digital facilities </w:t>
      </w:r>
      <w:r w:rsidR="008173BB">
        <w:t>while awaiting confirmation from the Commission that it can offer an analog FM audio service on an ancillary or supplementary basis</w:t>
      </w:r>
      <w:r>
        <w:t xml:space="preserve">. Requiring the Station to terminate operations, therefore, will disrupt service to the public, including persons who view the Station on LPTV channel 6 and who listen to the station on their FM radios, with no corresponding benefit. </w:t>
      </w:r>
      <w:r w:rsidR="00AE72CC">
        <w:t>Providing the Station with special temporary authority and/or an extension of its analog license will eliminate this disruption and, therefore, is also in the public interest.</w:t>
      </w:r>
    </w:p>
    <w:p w:rsidRPr="000D7CF0" w:rsidR="00621CCC" w:rsidP="00621CCC" w:rsidRDefault="00621CCC" w14:paraId="5484A0E3" w14:textId="363F03E2">
      <w:pPr>
        <w:ind w:firstLine="720"/>
      </w:pPr>
    </w:p>
    <w:p w:rsidRPr="000D7CF0" w:rsidR="00621CCC" w:rsidP="00AC4656" w:rsidRDefault="00621CCC" w14:paraId="12C96DC4" w14:textId="77777777">
      <w:pPr>
        <w:ind w:firstLine="720"/>
      </w:pPr>
    </w:p>
    <w:sectPr w:rsidRPr="000D7CF0" w:rsidR="00621C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32" w:rsidP="00EB5E32" w:rsidRDefault="00EB5E32" w14:paraId="0EB021CF" w14:textId="77777777">
      <w:pPr>
        <w:spacing w:after="0" w:line="240" w:lineRule="auto"/>
      </w:pPr>
      <w:r>
        <w:separator/>
      </w:r>
    </w:p>
  </w:endnote>
  <w:endnote w:type="continuationSeparator" w:id="0">
    <w:p w:rsidR="00EB5E32" w:rsidP="00EB5E32" w:rsidRDefault="00EB5E32" w14:paraId="76FEF2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4C7" w:rsidRDefault="007F04C7" w14:paraId="7E01093D" w14:textId="77777777">
    <w:pPr>
      <w:pStyle w:val="Footer"/>
    </w:pPr>
  </w:p>
  <w:p w:rsidR="007F04C7" w:rsidP="007F04C7" w:rsidRDefault="007F04C7" w14:paraId="2B234D7C" w14:textId="5611EE26">
    <w:pPr>
      <w:pStyle w:val="Footer"/>
    </w:pPr>
    <w:r w:rsidR="0084635A">
      <w:rPr>
        <w:noProof/>
        <w:sz w:val="16"/>
      </w:rPr>
      <w:t>4811-8936-7520.2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32" w:rsidP="00EB5E32" w:rsidRDefault="00EB5E32" w14:paraId="69EB7FC1" w14:textId="77777777">
      <w:pPr>
        <w:spacing w:after="0" w:line="240" w:lineRule="auto"/>
      </w:pPr>
      <w:r>
        <w:separator/>
      </w:r>
    </w:p>
  </w:footnote>
  <w:footnote w:type="continuationSeparator" w:id="0">
    <w:p w:rsidR="00EB5E32" w:rsidP="00EB5E32" w:rsidRDefault="00EB5E32" w14:paraId="7E97D502" w14:textId="77777777">
      <w:pPr>
        <w:spacing w:after="0" w:line="240" w:lineRule="auto"/>
      </w:pPr>
      <w:r>
        <w:continuationSeparator/>
      </w:r>
    </w:p>
  </w:footnote>
  <w:footnote w:id="1">
    <w:p w:rsidR="008B75B4" w:rsidRDefault="008B75B4" w14:paraId="4AA28959" w14:textId="6380D7CC">
      <w:pPr>
        <w:pStyle w:val="FootnoteText"/>
      </w:pPr>
      <w:r>
        <w:rPr>
          <w:rStyle w:val="FootnoteReference"/>
        </w:rPr>
        <w:footnoteRef/>
      </w:r>
      <w:r>
        <w:t xml:space="preserve"> 180 days from July 13, 2021 is January 9, 2022, a Sunday. VTG will endeavor to complete the Station’s digital facilities well before the new deadline, but seeks the maximum allowable time for administrative convenience.</w:t>
      </w:r>
    </w:p>
  </w:footnote>
  <w:footnote w:id="2">
    <w:p w:rsidR="000D7CF0" w:rsidRDefault="000D7CF0" w14:paraId="08EAA7A9" w14:textId="1ED07AFE">
      <w:pPr>
        <w:pStyle w:val="FootnoteText"/>
      </w:pPr>
      <w:r>
        <w:rPr>
          <w:rStyle w:val="FootnoteReference"/>
        </w:rPr>
        <w:footnoteRef/>
      </w:r>
      <w:r>
        <w:t xml:space="preserve"> </w:t>
      </w:r>
      <w:r>
        <w:rPr>
          <w:i/>
          <w:iCs/>
        </w:rPr>
        <w:t xml:space="preserve">See </w:t>
      </w:r>
      <w:r w:rsidRPr="000D7CF0">
        <w:rPr>
          <w:i/>
          <w:iCs/>
        </w:rPr>
        <w:t>Amendment of Parts 73 and 74 of the Commission’s Rules to Establish Rules for Digital Low Power Television and Television Translator Stations</w:t>
      </w:r>
      <w:r>
        <w:t xml:space="preserve">, Third Report and Order and Fourth Notice of Proposed Rulemaking, 30 FCC Rcd. 14927 </w:t>
      </w:r>
      <w:r w:rsidR="00EA1AE4">
        <w:rPr>
          <w:rFonts w:cstheme="minorHAnsi"/>
        </w:rPr>
        <w:t>¶</w:t>
      </w:r>
      <w:r w:rsidR="00EA1AE4">
        <w:t xml:space="preserve"> </w:t>
      </w:r>
      <w:r>
        <w:t>9 (2015)</w:t>
      </w:r>
      <w:r w:rsidR="00215129">
        <w:t xml:space="preserve"> (“</w:t>
      </w:r>
      <w:r w:rsidRPr="000D7CF0" w:rsidR="00215129">
        <w:rPr>
          <w:i/>
          <w:iCs/>
        </w:rPr>
        <w:t>LPTV DTV Third R&amp;O</w:t>
      </w:r>
      <w:r w:rsidR="00215129">
        <w:t>”)</w:t>
      </w:r>
      <w:r w:rsidR="00EA1AE4">
        <w:t>.</w:t>
      </w:r>
    </w:p>
  </w:footnote>
  <w:footnote w:id="3">
    <w:p w:rsidRPr="00EA1AE4" w:rsidR="00EA1AE4" w:rsidRDefault="00EA1AE4" w14:paraId="3FEEC522" w14:textId="01720F94">
      <w:pPr>
        <w:pStyle w:val="FootnoteText"/>
      </w:pPr>
      <w:r>
        <w:rPr>
          <w:rStyle w:val="FootnoteReference"/>
        </w:rPr>
        <w:footnoteRef/>
      </w:r>
      <w:r>
        <w:t xml:space="preserve"> </w:t>
      </w:r>
      <w:r>
        <w:rPr>
          <w:i/>
          <w:iCs/>
        </w:rPr>
        <w:t>Id.</w:t>
      </w:r>
      <w:r>
        <w:t xml:space="preserve"> ¶ 12.</w:t>
      </w:r>
    </w:p>
  </w:footnote>
  <w:footnote w:id="4">
    <w:p w:rsidRPr="00364330" w:rsidR="00364330" w:rsidRDefault="00364330" w14:paraId="1B79E398" w14:textId="133D94CE">
      <w:pPr>
        <w:pStyle w:val="FootnoteText"/>
      </w:pPr>
      <w:r>
        <w:rPr>
          <w:rStyle w:val="FootnoteReference"/>
        </w:rPr>
        <w:footnoteRef/>
      </w:r>
      <w:r>
        <w:t xml:space="preserve"> </w:t>
      </w:r>
      <w:r>
        <w:rPr>
          <w:i/>
          <w:iCs/>
        </w:rPr>
        <w:t>Id.</w:t>
      </w:r>
      <w:r>
        <w:t xml:space="preserve">; </w:t>
      </w:r>
      <w:r>
        <w:rPr>
          <w:i/>
          <w:iCs/>
        </w:rPr>
        <w:t>see also Media Bureau Reminds Low Power Television and Television Translator Stations of July 13, 2021, Digital Transition Date</w:t>
      </w:r>
      <w:r>
        <w:t>, DA 21-260 (MB rel. Mar. 4, 2021).</w:t>
      </w:r>
    </w:p>
  </w:footnote>
  <w:footnote w:id="5">
    <w:p w:rsidRPr="0029078F" w:rsidR="000D6A1A" w:rsidP="000D6A1A" w:rsidRDefault="000D6A1A" w14:paraId="5C075207" w14:textId="361BFD4C">
      <w:pPr>
        <w:pStyle w:val="FootnoteText"/>
      </w:pPr>
      <w:r>
        <w:rPr>
          <w:rStyle w:val="FootnoteReference"/>
        </w:rPr>
        <w:footnoteRef/>
      </w:r>
      <w:r>
        <w:t xml:space="preserve"> In a March 17, 2020 Public notice, the Commission recognized that “construction and delivery delays that are occurring as a result of the COVID-19 pandemic, as well as efforts undertaken by the stations themselves to protect the health of their employees and their families, result from circumstances outside of a station’s control.” </w:t>
      </w:r>
      <w:r>
        <w:rPr>
          <w:i/>
          <w:iCs/>
        </w:rPr>
        <w:t>See Guidance for Stations in Phase 9 of the Post-Incentive Auction Transition as a Result of the Novel Coronavirus (COVID-19) Pandemic</w:t>
      </w:r>
      <w:r w:rsidR="004D78EB">
        <w:t xml:space="preserve">, Public Notice, </w:t>
      </w:r>
      <w:r w:rsidR="001558C5">
        <w:t xml:space="preserve">35 FCC Rcd. 2720 </w:t>
      </w:r>
      <w:r w:rsidR="004D78EB">
        <w:t>(</w:t>
      </w:r>
      <w:r w:rsidR="001558C5">
        <w:t xml:space="preserve">IATF &amp; MB </w:t>
      </w:r>
      <w:r w:rsidR="004D78EB">
        <w:t xml:space="preserve">2020). </w:t>
      </w:r>
      <w:r w:rsidR="0029078F">
        <w:t xml:space="preserve">The Commission subsequently granted a waiver to extend the Phase 10 completion deadline to several full power stations based on, among other things, COVID-19 related work stoppages and supply chain issues. </w:t>
      </w:r>
      <w:r w:rsidR="0029078F">
        <w:rPr>
          <w:i/>
          <w:iCs/>
        </w:rPr>
        <w:t xml:space="preserve">See </w:t>
      </w:r>
      <w:r w:rsidRPr="000E6F01" w:rsidR="000E6F01">
        <w:rPr>
          <w:i/>
          <w:iCs/>
        </w:rPr>
        <w:t>Post-Incentive Auction Transition Request for Waiver of Cox Television Jacksonville LLC</w:t>
      </w:r>
      <w:r w:rsidRPr="000E6F01" w:rsidR="000E6F01">
        <w:t xml:space="preserve">, </w:t>
      </w:r>
      <w:r w:rsidR="000E6F01">
        <w:t>35 FCC Rcd. 6826</w:t>
      </w:r>
      <w:r w:rsidR="004510C3">
        <w:t xml:space="preserve"> (2020).</w:t>
      </w:r>
    </w:p>
  </w:footnote>
  <w:footnote w:id="6">
    <w:p w:rsidRPr="003C64EF" w:rsidR="00621CCC" w:rsidP="00621CCC" w:rsidRDefault="00621CCC" w14:paraId="30ADC8B3" w14:textId="77777777">
      <w:pPr>
        <w:pStyle w:val="FootnoteText"/>
      </w:pPr>
      <w:r>
        <w:rPr>
          <w:rStyle w:val="FootnoteReference"/>
        </w:rPr>
        <w:footnoteRef/>
      </w:r>
      <w:r>
        <w:t xml:space="preserve"> </w:t>
      </w:r>
      <w:r>
        <w:rPr>
          <w:i/>
          <w:iCs/>
        </w:rPr>
        <w:t xml:space="preserve">See </w:t>
      </w:r>
      <w:r w:rsidRPr="000D7CF0">
        <w:rPr>
          <w:i/>
          <w:iCs/>
        </w:rPr>
        <w:t>LPTV DTV Third R&amp;O</w:t>
      </w:r>
      <w:r>
        <w:t xml:space="preserve"> </w:t>
      </w:r>
      <w:r w:rsidRPr="003C64EF">
        <w:t>¶ 4 n. 12</w:t>
      </w:r>
      <w:r>
        <w:t xml:space="preserve"> (“We intend to issue a decision on whether to permit digital LPTV stations to operate analog FM radio type services on an ancillary or supplementary basis at a later date.”); </w:t>
      </w:r>
      <w:r w:rsidRPr="003C64EF">
        <w:rPr>
          <w:i/>
          <w:iCs/>
        </w:rPr>
        <w:t>Media Bureau Seeks to Update the Record on the Operation of Analog Radio Services By</w:t>
      </w:r>
      <w:r>
        <w:rPr>
          <w:i/>
          <w:iCs/>
        </w:rPr>
        <w:t xml:space="preserve"> </w:t>
      </w:r>
      <w:r w:rsidRPr="003C64EF">
        <w:rPr>
          <w:i/>
          <w:iCs/>
        </w:rPr>
        <w:t>Digital LPTV Stations As Ancillary or Supplementary Services</w:t>
      </w:r>
      <w:r w:rsidRPr="003C64EF">
        <w:t>, Public Notice, 34 FCC Rcd</w:t>
      </w:r>
      <w:r>
        <w:t>.</w:t>
      </w:r>
      <w:r w:rsidRPr="003C64EF">
        <w:t xml:space="preserve"> 11162 (</w:t>
      </w:r>
      <w:r>
        <w:t xml:space="preserve">MB </w:t>
      </w:r>
      <w:r w:rsidRPr="003C64EF">
        <w:t>Dec. 4, 2019)</w:t>
      </w:r>
      <w:r>
        <w:t>.</w:t>
      </w:r>
    </w:p>
  </w:footnote>
  <w:footnote w:id="7">
    <w:p w:rsidRPr="00215129" w:rsidR="00215129" w:rsidRDefault="00215129" w14:paraId="71B8A029" w14:textId="67E2E83C">
      <w:pPr>
        <w:pStyle w:val="FootnoteText"/>
      </w:pPr>
      <w:r>
        <w:rPr>
          <w:rStyle w:val="FootnoteReference"/>
        </w:rPr>
        <w:footnoteRef/>
      </w:r>
      <w:r>
        <w:t xml:space="preserve"> </w:t>
      </w:r>
      <w:r>
        <w:rPr>
          <w:i/>
          <w:iCs/>
        </w:rPr>
        <w:t xml:space="preserve">See </w:t>
      </w:r>
      <w:r w:rsidRPr="000D7CF0">
        <w:rPr>
          <w:i/>
          <w:iCs/>
        </w:rPr>
        <w:t>LPTV DTV Third R&amp;O</w:t>
      </w:r>
      <w:r>
        <w:t xml:space="preserve"> ¶¶ 9, 16.</w:t>
      </w:r>
    </w:p>
  </w:footnote>
  <w:footnote w:id="8">
    <w:p w:rsidRPr="003D21A9" w:rsidR="00BE4A75" w:rsidP="00BE4A75" w:rsidRDefault="00BE4A75" w14:paraId="2A2EC2F1" w14:textId="77777777">
      <w:pPr>
        <w:pStyle w:val="FootnoteText"/>
      </w:pPr>
      <w:r>
        <w:rPr>
          <w:rStyle w:val="FootnoteReference"/>
        </w:rPr>
        <w:footnoteRef/>
      </w:r>
      <w:r>
        <w:t xml:space="preserve"> </w:t>
      </w:r>
      <w:r>
        <w:rPr>
          <w:i/>
          <w:iCs/>
        </w:rPr>
        <w:t>See Authorizing Permissive Use of the “Next Generation” Broadcast Television Standard</w:t>
      </w:r>
      <w:r>
        <w:t>, 32 FCC Rcd. 9930 (2017).</w:t>
      </w:r>
    </w:p>
  </w:footnote>
  <w:footnote w:id="9">
    <w:p w:rsidRPr="0087725E" w:rsidR="00621CCC" w:rsidP="00621CCC" w:rsidRDefault="00621CCC" w14:paraId="7F1D1681" w14:textId="77777777">
      <w:pPr>
        <w:pStyle w:val="FootnoteText"/>
      </w:pPr>
      <w:r>
        <w:rPr>
          <w:rStyle w:val="FootnoteReference"/>
        </w:rPr>
        <w:footnoteRef/>
      </w:r>
      <w:r>
        <w:t xml:space="preserve"> </w:t>
      </w:r>
      <w:r>
        <w:rPr>
          <w:i/>
          <w:iCs/>
        </w:rPr>
        <w:t xml:space="preserve">See LPTV DTD Third R&amp;O </w:t>
      </w:r>
      <w:r>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32" w:rsidP="00EB5E32" w:rsidRDefault="00EB5E32" w14:paraId="4A8635C0" w14:textId="73DC9BFB">
    <w:pPr>
      <w:pStyle w:val="Header"/>
      <w:jc w:val="right"/>
    </w:pPr>
    <w:r>
      <w:t>Venture Technologies Group LLC</w:t>
    </w:r>
  </w:p>
  <w:p w:rsidR="00EB5E32" w:rsidP="00EB5E32" w:rsidRDefault="00EB5E32" w14:paraId="7158EB1C" w14:textId="3FDC387E">
    <w:pPr>
      <w:pStyle w:val="Header"/>
      <w:jc w:val="right"/>
    </w:pPr>
    <w:r>
      <w:t>KZNO-L</w:t>
    </w:r>
    <w:r w:rsidR="008B75B4">
      <w:t>D</w:t>
    </w:r>
    <w:r>
      <w:t>, Big Bear Lake, CA (FAC ID 63149)</w:t>
    </w:r>
  </w:p>
  <w:p w:rsidR="00EB5E32" w:rsidP="00EB5E32" w:rsidRDefault="00EB5E32" w14:paraId="4C913AFE" w14:textId="1C83EC8E">
    <w:pPr>
      <w:pStyle w:val="Header"/>
      <w:jc w:val="right"/>
      <w:rPr>
        <w:rFonts w:eastAsia="Times New Roman"/>
        <w:sz w:val="24"/>
        <w:szCs w:val="24"/>
      </w:rPr>
    </w:pPr>
    <w:r>
      <w:rPr>
        <w:rFonts w:eastAsia="Times New Roman"/>
        <w:sz w:val="24"/>
        <w:szCs w:val="24"/>
      </w:rPr>
      <w:t>LMS File No. 0000131428</w:t>
    </w:r>
  </w:p>
  <w:p w:rsidR="00EB5E32" w:rsidP="00EB5E32" w:rsidRDefault="00EB5E32" w14:paraId="22FED595"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B5E32"/>
    <w:rsid w:val="00024D88"/>
    <w:rsid w:val="000436F2"/>
    <w:rsid w:val="000579B1"/>
    <w:rsid w:val="000D6A1A"/>
    <w:rsid w:val="000D7CF0"/>
    <w:rsid w:val="000E6F01"/>
    <w:rsid w:val="001558C5"/>
    <w:rsid w:val="00215129"/>
    <w:rsid w:val="0029078F"/>
    <w:rsid w:val="00364330"/>
    <w:rsid w:val="00374D47"/>
    <w:rsid w:val="003C64EF"/>
    <w:rsid w:val="003D21A9"/>
    <w:rsid w:val="004510C3"/>
    <w:rsid w:val="004D78EB"/>
    <w:rsid w:val="00503DA0"/>
    <w:rsid w:val="00621CCC"/>
    <w:rsid w:val="00717B0C"/>
    <w:rsid w:val="007927E3"/>
    <w:rsid w:val="007C2191"/>
    <w:rsid w:val="007F04C7"/>
    <w:rsid w:val="007F4EB4"/>
    <w:rsid w:val="008173BB"/>
    <w:rsid w:val="0084635A"/>
    <w:rsid w:val="0087725E"/>
    <w:rsid w:val="008B75B4"/>
    <w:rsid w:val="008C4045"/>
    <w:rsid w:val="00900F76"/>
    <w:rsid w:val="009B2D2D"/>
    <w:rsid w:val="009C42F2"/>
    <w:rsid w:val="00AC302B"/>
    <w:rsid w:val="00AC4656"/>
    <w:rsid w:val="00AE72CC"/>
    <w:rsid w:val="00B14011"/>
    <w:rsid w:val="00BE4A75"/>
    <w:rsid w:val="00C3270E"/>
    <w:rsid w:val="00D17D8D"/>
    <w:rsid w:val="00D73EA3"/>
    <w:rsid w:val="00DD2009"/>
    <w:rsid w:val="00E21A08"/>
    <w:rsid w:val="00E23C1C"/>
    <w:rsid w:val="00EA1AE4"/>
    <w:rsid w:val="00EB5E32"/>
    <w:rsid w:val="00FC4092"/>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1CDB2"/>
  <w15:chartTrackingRefBased/>
  <w15:docId w15:val="{F43101AD-3FA2-4474-A37C-E191E099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E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5E32"/>
  </w:style>
  <w:style w:type="paragraph" w:styleId="Footer">
    <w:name w:val="footer"/>
    <w:basedOn w:val="Normal"/>
    <w:link w:val="FooterChar"/>
    <w:uiPriority w:val="99"/>
    <w:unhideWhenUsed/>
    <w:rsid w:val="00EB5E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5E32"/>
  </w:style>
  <w:style w:type="paragraph" w:styleId="FootnoteText">
    <w:name w:val="footnote text"/>
    <w:basedOn w:val="Normal"/>
    <w:link w:val="FootnoteTextChar"/>
    <w:uiPriority w:val="99"/>
    <w:semiHidden/>
    <w:unhideWhenUsed/>
    <w:rsid w:val="008B75B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B75B4"/>
    <w:rPr>
      <w:sz w:val="20"/>
      <w:szCs w:val="20"/>
    </w:rPr>
  </w:style>
  <w:style w:type="character" w:styleId="FootnoteReference">
    <w:name w:val="footnote reference"/>
    <w:basedOn w:val="DefaultParagraphFont"/>
    <w:uiPriority w:val="99"/>
    <w:semiHidden/>
    <w:unhideWhenUsed/>
    <w:rsid w:val="008B75B4"/>
    <w:rPr>
      <w:vertAlign w:val="superscript"/>
    </w:rPr>
  </w:style>
  <w:style w:type="paragraph" w:styleId="BalloonText">
    <w:name w:val="Balloon Text"/>
    <w:basedOn w:val="Normal"/>
    <w:link w:val="BalloonTextChar"/>
    <w:uiPriority w:val="99"/>
    <w:semiHidden/>
    <w:unhideWhenUsed/>
    <w:rsid w:val="00900F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