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7B11" w14:textId="32A2BF4C" w:rsidR="007F0416" w:rsidRPr="00CB2F3B" w:rsidRDefault="007F0416" w:rsidP="007F0416">
      <w:pPr>
        <w:pStyle w:val="NormalWeb"/>
        <w:ind w:left="5760"/>
        <w:rPr>
          <w:rFonts w:ascii="Arial" w:hAnsi="Arial" w:cs="Arial"/>
        </w:rPr>
      </w:pPr>
      <w:r w:rsidRPr="00CB2F3B">
        <w:rPr>
          <w:rFonts w:ascii="Arial" w:hAnsi="Arial" w:cs="Arial"/>
        </w:rPr>
        <w:t xml:space="preserve">Saga Subsidiary </w:t>
      </w:r>
      <w:r w:rsidRPr="00830664">
        <w:rPr>
          <w:rFonts w:ascii="Arial" w:hAnsi="Arial" w:cs="Arial"/>
          <w:i/>
          <w:iCs/>
        </w:rPr>
        <w:t>Pro Forma</w:t>
      </w:r>
      <w:r w:rsidRPr="00CB2F3B">
        <w:rPr>
          <w:rFonts w:ascii="Arial" w:hAnsi="Arial" w:cs="Arial"/>
        </w:rPr>
        <w:t xml:space="preserve"> Transfer of Control Application </w:t>
      </w:r>
      <w:r w:rsidR="00BF7044">
        <w:rPr>
          <w:rFonts w:ascii="Arial" w:hAnsi="Arial" w:cs="Arial"/>
        </w:rPr>
        <w:t>January 2023</w:t>
      </w:r>
      <w:r w:rsidRPr="00CB2F3B">
        <w:rPr>
          <w:rFonts w:ascii="Arial" w:hAnsi="Arial" w:cs="Arial"/>
        </w:rPr>
        <w:t xml:space="preserve"> </w:t>
      </w:r>
    </w:p>
    <w:p w14:paraId="04B52906" w14:textId="77777777" w:rsidR="007F0416" w:rsidRDefault="007F0416" w:rsidP="007F0416">
      <w:pPr>
        <w:pStyle w:val="NormalWeb"/>
        <w:jc w:val="center"/>
        <w:rPr>
          <w:rFonts w:ascii="Arial" w:hAnsi="Arial" w:cs="Arial"/>
          <w:b/>
          <w:bCs/>
        </w:rPr>
      </w:pPr>
      <w:r w:rsidRPr="00CB2F3B">
        <w:rPr>
          <w:rFonts w:ascii="Arial" w:hAnsi="Arial" w:cs="Arial"/>
          <w:b/>
          <w:bCs/>
        </w:rPr>
        <w:t xml:space="preserve">DESCRIPTION OF </w:t>
      </w:r>
      <w:r w:rsidR="00830664">
        <w:rPr>
          <w:rFonts w:ascii="Arial" w:hAnsi="Arial" w:cs="Arial"/>
          <w:b/>
          <w:bCs/>
        </w:rPr>
        <w:t>INVOLUNTARY</w:t>
      </w:r>
      <w:r w:rsidRPr="00CB2F3B">
        <w:rPr>
          <w:rFonts w:ascii="Arial" w:hAnsi="Arial" w:cs="Arial"/>
          <w:b/>
          <w:bCs/>
        </w:rPr>
        <w:t xml:space="preserve"> CHANGES</w:t>
      </w:r>
    </w:p>
    <w:p w14:paraId="34F389BF" w14:textId="77777777" w:rsidR="004229F7" w:rsidRPr="00CB2F3B" w:rsidRDefault="004229F7" w:rsidP="007F0416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WHY FORM 316 IS APPROPRIATE</w:t>
      </w:r>
    </w:p>
    <w:p w14:paraId="7DF8318F" w14:textId="5D66F65C" w:rsidR="007F0416" w:rsidRPr="00CB2F3B" w:rsidRDefault="007F0416" w:rsidP="007F0416">
      <w:pPr>
        <w:pStyle w:val="NormalWeb"/>
        <w:rPr>
          <w:rFonts w:ascii="Arial" w:hAnsi="Arial" w:cs="Arial"/>
        </w:rPr>
      </w:pPr>
      <w:r w:rsidRPr="00CB2F3B">
        <w:rPr>
          <w:rFonts w:ascii="Arial" w:hAnsi="Arial" w:cs="Arial"/>
        </w:rPr>
        <w:t xml:space="preserve">This application is one of </w:t>
      </w:r>
      <w:r w:rsidR="000E3239" w:rsidRPr="00CB2F3B">
        <w:rPr>
          <w:rFonts w:ascii="Arial" w:hAnsi="Arial" w:cs="Arial"/>
        </w:rPr>
        <w:t>12</w:t>
      </w:r>
      <w:r w:rsidRPr="00CB2F3B">
        <w:rPr>
          <w:rFonts w:ascii="Arial" w:hAnsi="Arial" w:cs="Arial"/>
        </w:rPr>
        <w:t xml:space="preserve"> similar applications for </w:t>
      </w:r>
      <w:r w:rsidR="00F22314">
        <w:rPr>
          <w:rFonts w:ascii="Arial" w:hAnsi="Arial" w:cs="Arial"/>
        </w:rPr>
        <w:t>consent to</w:t>
      </w:r>
      <w:r w:rsidR="00FE1BB1">
        <w:rPr>
          <w:rFonts w:ascii="Arial" w:hAnsi="Arial" w:cs="Arial"/>
        </w:rPr>
        <w:t xml:space="preserve"> the</w:t>
      </w:r>
      <w:r w:rsidRPr="00CB2F3B">
        <w:rPr>
          <w:rFonts w:ascii="Arial" w:hAnsi="Arial" w:cs="Arial"/>
        </w:rPr>
        <w:t xml:space="preserve"> </w:t>
      </w:r>
      <w:r w:rsidRPr="00F22314">
        <w:rPr>
          <w:rFonts w:ascii="Arial" w:hAnsi="Arial" w:cs="Arial"/>
          <w:i/>
          <w:iCs/>
        </w:rPr>
        <w:t>pro forma</w:t>
      </w:r>
      <w:r w:rsidRPr="00CB2F3B">
        <w:rPr>
          <w:rFonts w:ascii="Arial" w:hAnsi="Arial" w:cs="Arial"/>
        </w:rPr>
        <w:t xml:space="preserve"> </w:t>
      </w:r>
      <w:r w:rsidR="00F22314">
        <w:rPr>
          <w:rFonts w:ascii="Arial" w:hAnsi="Arial" w:cs="Arial"/>
        </w:rPr>
        <w:t>transfer of control of subsidiaries of</w:t>
      </w:r>
      <w:r w:rsidRPr="00CB2F3B">
        <w:rPr>
          <w:rFonts w:ascii="Arial" w:hAnsi="Arial" w:cs="Arial"/>
        </w:rPr>
        <w:t xml:space="preserve"> Saga Communications, Inc. (“Saga”). Saga, through </w:t>
      </w:r>
      <w:r w:rsidR="00FE1BB1">
        <w:rPr>
          <w:rFonts w:ascii="Arial" w:hAnsi="Arial" w:cs="Arial"/>
        </w:rPr>
        <w:t>those</w:t>
      </w:r>
      <w:r w:rsidRPr="00CB2F3B">
        <w:rPr>
          <w:rFonts w:ascii="Arial" w:hAnsi="Arial" w:cs="Arial"/>
        </w:rPr>
        <w:t xml:space="preserve"> subsidiaries, </w:t>
      </w:r>
      <w:r w:rsidR="000E3239" w:rsidRPr="00CB2F3B">
        <w:rPr>
          <w:rStyle w:val="contentpanediv1"/>
          <w:rFonts w:ascii="Arial" w:eastAsiaTheme="majorEastAsia" w:hAnsi="Arial" w:cs="Arial"/>
        </w:rPr>
        <w:t xml:space="preserve">owns or operates broadcast properties in 27 markets, including 79 FM radio stations, 35 AM radio stations and 80 </w:t>
      </w:r>
      <w:r w:rsidR="000E3239" w:rsidRPr="00CB2F3B">
        <w:rPr>
          <w:rStyle w:val="contentpanediv1"/>
          <w:rFonts w:ascii="Arial" w:hAnsi="Arial" w:cs="Arial"/>
        </w:rPr>
        <w:t>FM translator stations</w:t>
      </w:r>
      <w:r w:rsidRPr="00CB2F3B">
        <w:rPr>
          <w:rFonts w:ascii="Arial" w:hAnsi="Arial" w:cs="Arial"/>
        </w:rPr>
        <w:t xml:space="preserve">. The </w:t>
      </w:r>
      <w:r w:rsidR="00CB2F3B">
        <w:rPr>
          <w:rFonts w:ascii="Arial" w:hAnsi="Arial" w:cs="Arial"/>
        </w:rPr>
        <w:t xml:space="preserve">Class A </w:t>
      </w:r>
      <w:r w:rsidRPr="00CB2F3B">
        <w:rPr>
          <w:rFonts w:ascii="Arial" w:hAnsi="Arial" w:cs="Arial"/>
        </w:rPr>
        <w:t xml:space="preserve">stock of Saga is publicly traded. </w:t>
      </w:r>
    </w:p>
    <w:p w14:paraId="1787972F" w14:textId="54C990A6" w:rsidR="00FE1BB1" w:rsidRDefault="007F0416" w:rsidP="007F0416">
      <w:pPr>
        <w:pStyle w:val="NormalWeb"/>
        <w:rPr>
          <w:rFonts w:ascii="Arial" w:hAnsi="Arial" w:cs="Arial"/>
        </w:rPr>
      </w:pPr>
      <w:r w:rsidRPr="00CB2F3B">
        <w:rPr>
          <w:rFonts w:ascii="Arial" w:hAnsi="Arial" w:cs="Arial"/>
        </w:rPr>
        <w:t xml:space="preserve">Until his death on August 19, 2022, Saga was controlled by </w:t>
      </w:r>
      <w:r w:rsidR="001F3E91" w:rsidRPr="00CB2F3B">
        <w:rPr>
          <w:rFonts w:ascii="Arial" w:hAnsi="Arial" w:cs="Arial"/>
        </w:rPr>
        <w:t xml:space="preserve">Edward K. Christian, who was </w:t>
      </w:r>
      <w:r w:rsidR="00EF55B4">
        <w:rPr>
          <w:rFonts w:ascii="Arial" w:hAnsi="Arial" w:cs="Arial"/>
        </w:rPr>
        <w:t xml:space="preserve">the </w:t>
      </w:r>
      <w:r w:rsidR="001F3E91" w:rsidRPr="00CB2F3B">
        <w:rPr>
          <w:rFonts w:ascii="Arial" w:hAnsi="Arial" w:cs="Arial"/>
        </w:rPr>
        <w:t>single majority stockholder of Saga</w:t>
      </w:r>
      <w:r w:rsidR="00FE1BB1">
        <w:rPr>
          <w:rFonts w:ascii="Arial" w:hAnsi="Arial" w:cs="Arial"/>
        </w:rPr>
        <w:t>,</w:t>
      </w:r>
      <w:r w:rsidR="001F3E91" w:rsidRPr="00CB2F3B">
        <w:rPr>
          <w:rFonts w:ascii="Arial" w:hAnsi="Arial" w:cs="Arial"/>
        </w:rPr>
        <w:t xml:space="preserve"> with </w:t>
      </w:r>
      <w:r w:rsidR="00AE175A">
        <w:rPr>
          <w:rFonts w:ascii="Arial" w:hAnsi="Arial" w:cs="Arial"/>
        </w:rPr>
        <w:t xml:space="preserve">approximately </w:t>
      </w:r>
      <w:r w:rsidR="00A70BB3">
        <w:rPr>
          <w:rFonts w:ascii="Arial" w:hAnsi="Arial" w:cs="Arial"/>
        </w:rPr>
        <w:t>65.48</w:t>
      </w:r>
      <w:r w:rsidR="00AE175A">
        <w:rPr>
          <w:rFonts w:ascii="Arial" w:hAnsi="Arial" w:cs="Arial"/>
        </w:rPr>
        <w:t xml:space="preserve">% </w:t>
      </w:r>
      <w:r w:rsidR="001F3E91" w:rsidRPr="00CB2F3B">
        <w:rPr>
          <w:rFonts w:ascii="Arial" w:hAnsi="Arial" w:cs="Arial"/>
        </w:rPr>
        <w:t xml:space="preserve">of the voting power and </w:t>
      </w:r>
      <w:r w:rsidR="00AE175A">
        <w:rPr>
          <w:rFonts w:ascii="Arial" w:hAnsi="Arial" w:cs="Arial"/>
        </w:rPr>
        <w:t>approximately 15.95%</w:t>
      </w:r>
      <w:r w:rsidR="001F3E91" w:rsidRPr="00CB2F3B">
        <w:rPr>
          <w:rFonts w:ascii="Arial" w:hAnsi="Arial" w:cs="Arial"/>
        </w:rPr>
        <w:t xml:space="preserve"> of the equity</w:t>
      </w:r>
      <w:r w:rsidRPr="00CB2F3B">
        <w:rPr>
          <w:rFonts w:ascii="Arial" w:hAnsi="Arial" w:cs="Arial"/>
        </w:rPr>
        <w:t xml:space="preserve">. </w:t>
      </w:r>
      <w:r w:rsidR="001F3E91" w:rsidRPr="00CB2F3B">
        <w:rPr>
          <w:rFonts w:ascii="Arial" w:hAnsi="Arial" w:cs="Arial"/>
        </w:rPr>
        <w:t>Until his death, Mr. Christian held Class B stock</w:t>
      </w:r>
      <w:r w:rsidR="00EF55B4">
        <w:rPr>
          <w:rFonts w:ascii="Arial" w:hAnsi="Arial" w:cs="Arial"/>
        </w:rPr>
        <w:t>.  P</w:t>
      </w:r>
      <w:r w:rsidR="00FE1BB1">
        <w:rPr>
          <w:rFonts w:ascii="Arial" w:hAnsi="Arial" w:cs="Arial"/>
        </w:rPr>
        <w:t xml:space="preserve">ursuant to Saga’s organizational documents, each share of Class B stock was entitled to 10 votes, and each share of Class A stock was entitled to one vote.  </w:t>
      </w:r>
      <w:r w:rsidR="001F3E91" w:rsidRPr="00CB2F3B">
        <w:rPr>
          <w:rFonts w:ascii="Arial" w:hAnsi="Arial" w:cs="Arial"/>
        </w:rPr>
        <w:t xml:space="preserve">Upon his death, Mr. Christian’s </w:t>
      </w:r>
      <w:r w:rsidR="00FE1BB1">
        <w:rPr>
          <w:rFonts w:ascii="Arial" w:hAnsi="Arial" w:cs="Arial"/>
        </w:rPr>
        <w:t xml:space="preserve">Class B stock automatically </w:t>
      </w:r>
      <w:r w:rsidR="001F3E91" w:rsidRPr="00CB2F3B">
        <w:rPr>
          <w:rFonts w:ascii="Arial" w:hAnsi="Arial" w:cs="Arial"/>
        </w:rPr>
        <w:t xml:space="preserve">reverted to one vote per share, </w:t>
      </w:r>
      <w:r w:rsidR="00D179FE" w:rsidRPr="00CB2F3B">
        <w:rPr>
          <w:rFonts w:ascii="Arial" w:hAnsi="Arial" w:cs="Arial"/>
        </w:rPr>
        <w:t xml:space="preserve">thereby </w:t>
      </w:r>
      <w:r w:rsidR="00FE1BB1">
        <w:rPr>
          <w:rFonts w:ascii="Arial" w:hAnsi="Arial" w:cs="Arial"/>
        </w:rPr>
        <w:t>resulting in the</w:t>
      </w:r>
      <w:r w:rsidR="00AE175A">
        <w:rPr>
          <w:rFonts w:ascii="Arial" w:hAnsi="Arial" w:cs="Arial"/>
        </w:rPr>
        <w:t xml:space="preserve"> </w:t>
      </w:r>
      <w:r w:rsidR="00D179FE" w:rsidRPr="00CB2F3B">
        <w:rPr>
          <w:rFonts w:ascii="Arial" w:hAnsi="Arial" w:cs="Arial"/>
        </w:rPr>
        <w:t>relinquish</w:t>
      </w:r>
      <w:r w:rsidR="00FE1BB1">
        <w:rPr>
          <w:rFonts w:ascii="Arial" w:hAnsi="Arial" w:cs="Arial"/>
        </w:rPr>
        <w:t>ment of</w:t>
      </w:r>
      <w:r w:rsidR="00D179FE" w:rsidRPr="00CB2F3B">
        <w:rPr>
          <w:rFonts w:ascii="Arial" w:hAnsi="Arial" w:cs="Arial"/>
        </w:rPr>
        <w:t xml:space="preserve"> control of Saga</w:t>
      </w:r>
      <w:r w:rsidR="0067751E">
        <w:rPr>
          <w:rFonts w:ascii="Arial" w:hAnsi="Arial" w:cs="Arial"/>
        </w:rPr>
        <w:t xml:space="preserve"> by Mr. Christian</w:t>
      </w:r>
      <w:r w:rsidR="00D179FE" w:rsidRPr="00CB2F3B">
        <w:rPr>
          <w:rFonts w:ascii="Arial" w:hAnsi="Arial" w:cs="Arial"/>
        </w:rPr>
        <w:t>.</w:t>
      </w:r>
    </w:p>
    <w:p w14:paraId="35923E99" w14:textId="05F8EBFC" w:rsidR="007F0416" w:rsidRDefault="007F0416" w:rsidP="007F0416">
      <w:pPr>
        <w:pStyle w:val="NormalWeb"/>
        <w:rPr>
          <w:rFonts w:ascii="Arial" w:hAnsi="Arial" w:cs="Arial"/>
        </w:rPr>
      </w:pPr>
      <w:r w:rsidRPr="00CB2F3B">
        <w:rPr>
          <w:rFonts w:ascii="Arial" w:hAnsi="Arial" w:cs="Arial"/>
        </w:rPr>
        <w:t xml:space="preserve">Because </w:t>
      </w:r>
      <w:r w:rsidR="00D179FE" w:rsidRPr="00CB2F3B">
        <w:rPr>
          <w:rFonts w:ascii="Arial" w:hAnsi="Arial" w:cs="Arial"/>
        </w:rPr>
        <w:t>Saga’s Class A</w:t>
      </w:r>
      <w:r w:rsidRPr="00CB2F3B">
        <w:rPr>
          <w:rFonts w:ascii="Arial" w:hAnsi="Arial" w:cs="Arial"/>
        </w:rPr>
        <w:t xml:space="preserve"> stock is publicly traded and widely held, </w:t>
      </w:r>
      <w:r w:rsidR="00FE1BB1">
        <w:rPr>
          <w:rFonts w:ascii="Arial" w:hAnsi="Arial" w:cs="Arial"/>
        </w:rPr>
        <w:t xml:space="preserve">following Commission approval of this application (and the </w:t>
      </w:r>
      <w:r w:rsidR="0067751E">
        <w:rPr>
          <w:rFonts w:ascii="Arial" w:hAnsi="Arial" w:cs="Arial"/>
        </w:rPr>
        <w:t xml:space="preserve">11 other </w:t>
      </w:r>
      <w:r w:rsidR="000D7840">
        <w:rPr>
          <w:rFonts w:ascii="Arial" w:hAnsi="Arial" w:cs="Arial"/>
        </w:rPr>
        <w:t>“sister” applications), now that all of the Class B</w:t>
      </w:r>
      <w:r w:rsidR="000D7840" w:rsidRPr="00CB2F3B">
        <w:rPr>
          <w:rFonts w:ascii="Arial" w:hAnsi="Arial" w:cs="Arial"/>
        </w:rPr>
        <w:t xml:space="preserve"> stock </w:t>
      </w:r>
      <w:r w:rsidR="000D7840">
        <w:rPr>
          <w:rFonts w:ascii="Arial" w:hAnsi="Arial" w:cs="Arial"/>
        </w:rPr>
        <w:t xml:space="preserve">has been converted to Class A stock, </w:t>
      </w:r>
      <w:r w:rsidRPr="00CB2F3B">
        <w:rPr>
          <w:rFonts w:ascii="Arial" w:hAnsi="Arial" w:cs="Arial"/>
        </w:rPr>
        <w:t xml:space="preserve">no party will obtain control of </w:t>
      </w:r>
      <w:r w:rsidR="000D7840">
        <w:rPr>
          <w:rFonts w:ascii="Arial" w:hAnsi="Arial" w:cs="Arial"/>
        </w:rPr>
        <w:t xml:space="preserve">Saga </w:t>
      </w:r>
      <w:r w:rsidR="000D7840" w:rsidRPr="00CB2F3B">
        <w:rPr>
          <w:rFonts w:ascii="Arial" w:hAnsi="Arial" w:cs="Arial"/>
        </w:rPr>
        <w:t xml:space="preserve">– either </w:t>
      </w:r>
      <w:r w:rsidR="000D7840" w:rsidRPr="00AE175A">
        <w:rPr>
          <w:rFonts w:ascii="Arial" w:hAnsi="Arial" w:cs="Arial"/>
          <w:i/>
          <w:iCs/>
        </w:rPr>
        <w:t xml:space="preserve">de facto </w:t>
      </w:r>
      <w:r w:rsidR="000D7840" w:rsidRPr="00AE175A">
        <w:rPr>
          <w:rFonts w:ascii="Arial" w:hAnsi="Arial" w:cs="Arial"/>
        </w:rPr>
        <w:t>or</w:t>
      </w:r>
      <w:r w:rsidR="000D7840" w:rsidRPr="00AE175A">
        <w:rPr>
          <w:rFonts w:ascii="Arial" w:hAnsi="Arial" w:cs="Arial"/>
          <w:i/>
          <w:iCs/>
        </w:rPr>
        <w:t xml:space="preserve"> de jure</w:t>
      </w:r>
      <w:r w:rsidR="000D7840" w:rsidRPr="00CB2F3B">
        <w:rPr>
          <w:rFonts w:ascii="Arial" w:hAnsi="Arial" w:cs="Arial"/>
        </w:rPr>
        <w:t>, affirmative or negativ</w:t>
      </w:r>
      <w:r w:rsidR="000D7840">
        <w:rPr>
          <w:rFonts w:ascii="Arial" w:hAnsi="Arial" w:cs="Arial"/>
        </w:rPr>
        <w:t>e</w:t>
      </w:r>
      <w:r w:rsidRPr="00CB2F3B">
        <w:rPr>
          <w:rFonts w:ascii="Arial" w:hAnsi="Arial" w:cs="Arial"/>
        </w:rPr>
        <w:t xml:space="preserve">. Furthermore, </w:t>
      </w:r>
      <w:r w:rsidR="00D179FE" w:rsidRPr="00CB2F3B">
        <w:rPr>
          <w:rFonts w:ascii="Arial" w:hAnsi="Arial" w:cs="Arial"/>
        </w:rPr>
        <w:t>Saga’s</w:t>
      </w:r>
      <w:r w:rsidRPr="00CB2F3B">
        <w:rPr>
          <w:rFonts w:ascii="Arial" w:hAnsi="Arial" w:cs="Arial"/>
        </w:rPr>
        <w:t xml:space="preserve"> current Board of Directors will remain the same</w:t>
      </w:r>
      <w:r w:rsidR="00D179FE" w:rsidRPr="00CB2F3B">
        <w:rPr>
          <w:rFonts w:ascii="Arial" w:hAnsi="Arial" w:cs="Arial"/>
        </w:rPr>
        <w:t>, except for Mr. Christian</w:t>
      </w:r>
      <w:r w:rsidRPr="00CB2F3B">
        <w:rPr>
          <w:rFonts w:ascii="Arial" w:hAnsi="Arial" w:cs="Arial"/>
        </w:rPr>
        <w:t xml:space="preserve">. </w:t>
      </w:r>
      <w:r w:rsidR="00A70BB3">
        <w:rPr>
          <w:rFonts w:ascii="Arial" w:hAnsi="Arial" w:cs="Arial"/>
        </w:rPr>
        <w:t xml:space="preserve">As of </w:t>
      </w:r>
      <w:r w:rsidR="00256115">
        <w:rPr>
          <w:rFonts w:ascii="Arial" w:hAnsi="Arial" w:cs="Arial"/>
        </w:rPr>
        <w:t>January 19, 2023</w:t>
      </w:r>
      <w:r w:rsidR="00A70BB3">
        <w:rPr>
          <w:rFonts w:ascii="Arial" w:hAnsi="Arial" w:cs="Arial"/>
        </w:rPr>
        <w:t xml:space="preserve">, Chris </w:t>
      </w:r>
      <w:proofErr w:type="spellStart"/>
      <w:r w:rsidR="00A70BB3">
        <w:rPr>
          <w:rFonts w:ascii="Arial" w:hAnsi="Arial" w:cs="Arial"/>
        </w:rPr>
        <w:t>Forgy</w:t>
      </w:r>
      <w:proofErr w:type="spellEnd"/>
      <w:r w:rsidR="00A70BB3">
        <w:rPr>
          <w:rFonts w:ascii="Arial" w:hAnsi="Arial" w:cs="Arial"/>
        </w:rPr>
        <w:t xml:space="preserve"> was appointed President and Chief Executive Officer </w:t>
      </w:r>
      <w:r w:rsidR="004057A5">
        <w:rPr>
          <w:rFonts w:ascii="Arial" w:hAnsi="Arial" w:cs="Arial"/>
        </w:rPr>
        <w:t xml:space="preserve">and Director </w:t>
      </w:r>
      <w:r w:rsidR="00A70BB3">
        <w:rPr>
          <w:rFonts w:ascii="Arial" w:hAnsi="Arial" w:cs="Arial"/>
        </w:rPr>
        <w:t xml:space="preserve">to fill Mr. Christian’s vacated position.  </w:t>
      </w:r>
      <w:r w:rsidR="00D05910">
        <w:rPr>
          <w:rFonts w:ascii="Arial" w:hAnsi="Arial" w:cs="Arial"/>
        </w:rPr>
        <w:t xml:space="preserve">Mr. Forgy has been an officer of Saga or Saga subsidiaries for a long period, and was, until his elevation to the Board, Senior Vice President/Operations.  </w:t>
      </w:r>
      <w:r w:rsidRPr="00CB2F3B">
        <w:rPr>
          <w:rFonts w:ascii="Arial" w:hAnsi="Arial" w:cs="Arial"/>
        </w:rPr>
        <w:t>Therefore, it is appropriate to request consent for this proposed change on Form 2100, Schedule 316.</w:t>
      </w:r>
      <w:r w:rsidR="00A70BB3">
        <w:rPr>
          <w:rStyle w:val="FootnoteReference"/>
          <w:rFonts w:ascii="Arial" w:hAnsi="Arial" w:cs="Arial"/>
        </w:rPr>
        <w:footnoteReference w:id="1"/>
      </w:r>
      <w:r w:rsidRPr="00CB2F3B">
        <w:rPr>
          <w:rFonts w:ascii="Arial" w:hAnsi="Arial" w:cs="Arial"/>
        </w:rPr>
        <w:t xml:space="preserve"> </w:t>
      </w:r>
    </w:p>
    <w:p w14:paraId="537FE40A" w14:textId="252795BF" w:rsidR="00A70BB3" w:rsidRPr="00A70BB3" w:rsidRDefault="00A70BB3" w:rsidP="00A70BB3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color w:val="000000"/>
        </w:rPr>
        <w:t>T</w:t>
      </w:r>
      <w:r w:rsidRPr="00A70BB3">
        <w:rPr>
          <w:rFonts w:ascii="ArialMT" w:eastAsia="Times New Roman" w:hAnsi="ArialMT" w:cs="Times New Roman"/>
          <w:color w:val="000000"/>
        </w:rPr>
        <w:t xml:space="preserve">he conversion of Mr. Christian's shares from </w:t>
      </w:r>
      <w:r w:rsidR="00D05910">
        <w:rPr>
          <w:rFonts w:ascii="ArialMT" w:eastAsia="Times New Roman" w:hAnsi="ArialMT" w:cs="Times New Roman"/>
          <w:color w:val="000000"/>
        </w:rPr>
        <w:t>C</w:t>
      </w:r>
      <w:r w:rsidRPr="00A70BB3">
        <w:rPr>
          <w:rFonts w:ascii="ArialMT" w:eastAsia="Times New Roman" w:hAnsi="ArialMT" w:cs="Times New Roman"/>
          <w:color w:val="000000"/>
        </w:rPr>
        <w:t xml:space="preserve">lass B to </w:t>
      </w:r>
      <w:r w:rsidR="00D05910">
        <w:rPr>
          <w:rFonts w:ascii="ArialMT" w:eastAsia="Times New Roman" w:hAnsi="ArialMT" w:cs="Times New Roman"/>
          <w:color w:val="000000"/>
        </w:rPr>
        <w:t>C</w:t>
      </w:r>
      <w:r w:rsidRPr="00A70BB3">
        <w:rPr>
          <w:rFonts w:ascii="ArialMT" w:eastAsia="Times New Roman" w:hAnsi="ArialMT" w:cs="Times New Roman"/>
          <w:color w:val="000000"/>
        </w:rPr>
        <w:t xml:space="preserve">lass A </w:t>
      </w:r>
      <w:r>
        <w:rPr>
          <w:rFonts w:ascii="ArialMT" w:eastAsia="Times New Roman" w:hAnsi="ArialMT" w:cs="Times New Roman"/>
          <w:color w:val="000000"/>
        </w:rPr>
        <w:t>took place</w:t>
      </w:r>
      <w:r w:rsidRPr="00A70BB3">
        <w:rPr>
          <w:rFonts w:ascii="ArialMT" w:eastAsia="Times New Roman" w:hAnsi="ArialMT" w:cs="Times New Roman"/>
          <w:color w:val="000000"/>
        </w:rPr>
        <w:t xml:space="preserve"> pursuant to corporate documents</w:t>
      </w:r>
      <w:r>
        <w:rPr>
          <w:rFonts w:ascii="ArialMT" w:eastAsia="Times New Roman" w:hAnsi="ArialMT" w:cs="Times New Roman"/>
          <w:color w:val="000000"/>
        </w:rPr>
        <w:t>.</w:t>
      </w:r>
      <w:r w:rsidRPr="00A70BB3">
        <w:rPr>
          <w:rFonts w:ascii="ArialMT" w:eastAsia="Times New Roman" w:hAnsi="ArialMT" w:cs="Times New Roman"/>
          <w:color w:val="000000"/>
        </w:rPr>
        <w:t xml:space="preserve"> </w:t>
      </w:r>
      <w:r w:rsidR="00D02F00">
        <w:rPr>
          <w:rFonts w:ascii="ArialMT" w:eastAsia="Times New Roman" w:hAnsi="ArialMT" w:cs="Times New Roman"/>
          <w:color w:val="000000"/>
        </w:rPr>
        <w:t xml:space="preserve">The </w:t>
      </w:r>
      <w:r w:rsidRPr="00A70BB3">
        <w:rPr>
          <w:rFonts w:ascii="ArialMT" w:eastAsia="Times New Roman" w:hAnsi="ArialMT" w:cs="Times New Roman"/>
          <w:color w:val="000000"/>
        </w:rPr>
        <w:t>relevant provision</w:t>
      </w:r>
      <w:r w:rsidR="00D02F00">
        <w:rPr>
          <w:rFonts w:ascii="ArialMT" w:eastAsia="Times New Roman" w:hAnsi="ArialMT" w:cs="Times New Roman"/>
          <w:color w:val="000000"/>
        </w:rPr>
        <w:t>s</w:t>
      </w:r>
      <w:r w:rsidRPr="00A70BB3">
        <w:rPr>
          <w:rFonts w:ascii="ArialMT" w:eastAsia="Times New Roman" w:hAnsi="ArialMT" w:cs="Times New Roman"/>
          <w:color w:val="000000"/>
        </w:rPr>
        <w:t xml:space="preserve"> of the </w:t>
      </w:r>
      <w:r w:rsidR="006F2A92">
        <w:rPr>
          <w:rFonts w:ascii="ArialMT" w:eastAsia="Times New Roman" w:hAnsi="ArialMT" w:cs="Times New Roman"/>
          <w:color w:val="000000"/>
        </w:rPr>
        <w:t>documents</w:t>
      </w:r>
      <w:r w:rsidRPr="00A70BB3">
        <w:rPr>
          <w:rFonts w:ascii="ArialMT" w:eastAsia="Times New Roman" w:hAnsi="ArialMT" w:cs="Times New Roman"/>
          <w:color w:val="000000"/>
        </w:rPr>
        <w:t xml:space="preserve"> are already summarized in </w:t>
      </w:r>
      <w:r w:rsidR="006F2A92">
        <w:rPr>
          <w:rFonts w:ascii="ArialMT" w:eastAsia="Times New Roman" w:hAnsi="ArialMT" w:cs="Times New Roman"/>
          <w:color w:val="000000"/>
        </w:rPr>
        <w:t>this</w:t>
      </w:r>
      <w:r w:rsidRPr="00A70BB3">
        <w:rPr>
          <w:rFonts w:ascii="ArialMT" w:eastAsia="Times New Roman" w:hAnsi="ArialMT" w:cs="Times New Roman"/>
          <w:color w:val="000000"/>
        </w:rPr>
        <w:t xml:space="preserve"> application</w:t>
      </w:r>
      <w:r w:rsidR="006F2A92">
        <w:rPr>
          <w:rFonts w:ascii="ArialMT" w:eastAsia="Times New Roman" w:hAnsi="ArialMT" w:cs="Times New Roman"/>
          <w:color w:val="000000"/>
        </w:rPr>
        <w:t xml:space="preserve"> and</w:t>
      </w:r>
      <w:r w:rsidRPr="00A70BB3">
        <w:rPr>
          <w:rFonts w:ascii="ArialMT" w:eastAsia="Times New Roman" w:hAnsi="ArialMT" w:cs="Times New Roman"/>
          <w:color w:val="000000"/>
        </w:rPr>
        <w:t xml:space="preserve"> </w:t>
      </w:r>
      <w:r w:rsidR="006F2A92">
        <w:rPr>
          <w:rFonts w:ascii="ArialMT" w:eastAsia="Times New Roman" w:hAnsi="ArialMT" w:cs="Times New Roman"/>
          <w:color w:val="000000"/>
        </w:rPr>
        <w:t>the other</w:t>
      </w:r>
      <w:r w:rsidRPr="00A70BB3">
        <w:rPr>
          <w:rFonts w:ascii="ArialMT" w:eastAsia="Times New Roman" w:hAnsi="ArialMT" w:cs="Times New Roman"/>
          <w:color w:val="000000"/>
        </w:rPr>
        <w:t xml:space="preserve"> provisions are not germane to the subject applications</w:t>
      </w:r>
      <w:r w:rsidR="006F2A92">
        <w:rPr>
          <w:rFonts w:ascii="ArialMT" w:eastAsia="Times New Roman" w:hAnsi="ArialMT" w:cs="Times New Roman"/>
          <w:color w:val="000000"/>
        </w:rPr>
        <w:t>.  A</w:t>
      </w:r>
      <w:r w:rsidRPr="00A70BB3">
        <w:rPr>
          <w:rFonts w:ascii="ArialMT" w:eastAsia="Times New Roman" w:hAnsi="ArialMT" w:cs="Times New Roman"/>
          <w:color w:val="000000"/>
        </w:rPr>
        <w:t xml:space="preserve"> copy of the </w:t>
      </w:r>
      <w:r w:rsidR="006F2A92">
        <w:rPr>
          <w:rFonts w:ascii="ArialMT" w:eastAsia="Times New Roman" w:hAnsi="ArialMT" w:cs="Times New Roman"/>
          <w:color w:val="000000"/>
        </w:rPr>
        <w:t>documents</w:t>
      </w:r>
      <w:r w:rsidRPr="00A70BB3">
        <w:rPr>
          <w:rFonts w:ascii="ArialMT" w:eastAsia="Times New Roman" w:hAnsi="ArialMT" w:cs="Times New Roman"/>
          <w:color w:val="000000"/>
        </w:rPr>
        <w:t xml:space="preserve"> will be provided </w:t>
      </w:r>
      <w:r w:rsidR="006F2A92">
        <w:rPr>
          <w:rFonts w:ascii="ArialMT" w:eastAsia="Times New Roman" w:hAnsi="ArialMT" w:cs="Times New Roman"/>
          <w:color w:val="000000"/>
        </w:rPr>
        <w:t xml:space="preserve">to the Commission </w:t>
      </w:r>
      <w:r w:rsidRPr="00A70BB3">
        <w:rPr>
          <w:rFonts w:ascii="ArialMT" w:eastAsia="Times New Roman" w:hAnsi="ArialMT" w:cs="Times New Roman"/>
          <w:color w:val="000000"/>
        </w:rPr>
        <w:t>upon request</w:t>
      </w:r>
      <w:r w:rsidR="006F2A92">
        <w:rPr>
          <w:rFonts w:ascii="ArialMT" w:eastAsia="Times New Roman" w:hAnsi="ArialMT" w:cs="Times New Roman"/>
          <w:color w:val="000000"/>
        </w:rPr>
        <w:t>.</w:t>
      </w:r>
      <w:r w:rsidRPr="00A70BB3">
        <w:rPr>
          <w:rFonts w:ascii="ArialMT" w:eastAsia="Times New Roman" w:hAnsi="ArialMT" w:cs="Times New Roman"/>
          <w:color w:val="000000"/>
        </w:rPr>
        <w:t> </w:t>
      </w:r>
    </w:p>
    <w:p w14:paraId="6C5C393C" w14:textId="77777777" w:rsidR="00A70BB3" w:rsidRPr="00A70BB3" w:rsidRDefault="00A70BB3" w:rsidP="00A70BB3">
      <w:pPr>
        <w:rPr>
          <w:rFonts w:ascii="Times New Roman" w:eastAsia="Times New Roman" w:hAnsi="Times New Roman" w:cs="Times New Roman"/>
        </w:rPr>
      </w:pPr>
    </w:p>
    <w:p w14:paraId="153D39A1" w14:textId="77777777" w:rsidR="00A70BB3" w:rsidRDefault="00A70BB3" w:rsidP="007F0416">
      <w:pPr>
        <w:pStyle w:val="NormalWeb"/>
        <w:rPr>
          <w:rFonts w:ascii="Arial" w:hAnsi="Arial" w:cs="Arial"/>
        </w:rPr>
      </w:pPr>
    </w:p>
    <w:p w14:paraId="467852F7" w14:textId="51CE58D9" w:rsidR="00A914FE" w:rsidRDefault="00A914FE" w:rsidP="00A914FE">
      <w:r>
        <w:rPr>
          <w:rStyle w:val="injectednode"/>
          <w:rFonts w:ascii="Arial" w:hAnsi="Arial" w:cs="Arial"/>
          <w:color w:val="000000" w:themeColor="text1"/>
        </w:rPr>
        <w:t xml:space="preserve">Specifically, </w:t>
      </w:r>
      <w:r w:rsidR="000D7840">
        <w:rPr>
          <w:rStyle w:val="injectednode"/>
          <w:rFonts w:ascii="Arial" w:hAnsi="Arial" w:cs="Arial"/>
          <w:color w:val="000000" w:themeColor="text1"/>
        </w:rPr>
        <w:t xml:space="preserve">by this application, Commission approval is sought for the </w:t>
      </w:r>
      <w:r>
        <w:rPr>
          <w:rFonts w:ascii="Arial" w:hAnsi="Arial" w:cs="Arial"/>
        </w:rPr>
        <w:t xml:space="preserve">involuntary </w:t>
      </w:r>
      <w:r w:rsidRPr="001E1927">
        <w:rPr>
          <w:rFonts w:ascii="Arial" w:hAnsi="Arial" w:cs="Arial"/>
          <w:i/>
          <w:iCs/>
        </w:rPr>
        <w:t>pro forma</w:t>
      </w:r>
      <w:r>
        <w:rPr>
          <w:rFonts w:ascii="Arial" w:hAnsi="Arial" w:cs="Arial"/>
        </w:rPr>
        <w:t xml:space="preserve"> transfer of control of each of the licensee subsidiary companies</w:t>
      </w:r>
      <w:r w:rsidR="000D78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from Mr. </w:t>
      </w:r>
      <w:r w:rsidR="00F91C38">
        <w:rPr>
          <w:rFonts w:ascii="Arial" w:hAnsi="Arial" w:cs="Arial"/>
        </w:rPr>
        <w:t>Christian</w:t>
      </w:r>
      <w:r>
        <w:rPr>
          <w:rFonts w:ascii="Arial" w:hAnsi="Arial" w:cs="Arial"/>
        </w:rPr>
        <w:t xml:space="preserve"> to the general public; </w:t>
      </w:r>
      <w:r w:rsidRPr="000D7840">
        <w:rPr>
          <w:rFonts w:ascii="Arial" w:hAnsi="Arial" w:cs="Arial"/>
          <w:i/>
          <w:iCs/>
        </w:rPr>
        <w:t>i.e</w:t>
      </w:r>
      <w:r>
        <w:rPr>
          <w:rFonts w:ascii="Arial" w:hAnsi="Arial" w:cs="Arial"/>
        </w:rPr>
        <w:t xml:space="preserve">., the </w:t>
      </w:r>
      <w:r w:rsidR="00830664">
        <w:rPr>
          <w:rFonts w:ascii="Arial" w:hAnsi="Arial" w:cs="Arial"/>
        </w:rPr>
        <w:t xml:space="preserve">Class A </w:t>
      </w:r>
      <w:r>
        <w:rPr>
          <w:rFonts w:ascii="Arial" w:hAnsi="Arial" w:cs="Arial"/>
        </w:rPr>
        <w:t>stockholders</w:t>
      </w:r>
      <w:r w:rsidR="000D7840">
        <w:rPr>
          <w:rFonts w:ascii="Arial" w:hAnsi="Arial" w:cs="Arial"/>
        </w:rPr>
        <w:t xml:space="preserve"> of Saga</w:t>
      </w:r>
      <w:r>
        <w:rPr>
          <w:rFonts w:ascii="Arial" w:hAnsi="Arial" w:cs="Arial"/>
        </w:rPr>
        <w:t xml:space="preserve">.  </w:t>
      </w:r>
    </w:p>
    <w:p w14:paraId="1113B057" w14:textId="6E689BF6" w:rsidR="00A914FE" w:rsidRDefault="000D7840" w:rsidP="00A914FE">
      <w:pPr>
        <w:pStyle w:val="Heading1"/>
        <w:rPr>
          <w:rStyle w:val="injectednode"/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Use of a </w:t>
      </w:r>
      <w:r w:rsidRPr="000D7840">
        <w:rPr>
          <w:rFonts w:ascii="Arial" w:hAnsi="Arial" w:cs="Arial"/>
          <w:i/>
          <w:iCs/>
          <w:color w:val="000000" w:themeColor="text1"/>
          <w:sz w:val="24"/>
          <w:szCs w:val="24"/>
        </w:rPr>
        <w:t>pro forma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application for t</w:t>
      </w:r>
      <w:r w:rsidR="00A914FE" w:rsidRPr="000F0280">
        <w:rPr>
          <w:rFonts w:ascii="Arial" w:hAnsi="Arial" w:cs="Arial"/>
          <w:color w:val="000000" w:themeColor="text1"/>
          <w:sz w:val="24"/>
          <w:szCs w:val="24"/>
        </w:rPr>
        <w:t xml:space="preserve">his </w:t>
      </w:r>
      <w:r w:rsidR="00A914FE">
        <w:rPr>
          <w:rFonts w:ascii="Arial" w:hAnsi="Arial" w:cs="Arial"/>
          <w:color w:val="000000" w:themeColor="text1"/>
          <w:sz w:val="24"/>
          <w:szCs w:val="24"/>
        </w:rPr>
        <w:t>procedure was first approved in</w:t>
      </w:r>
      <w:r w:rsidR="00A914FE" w:rsidRPr="000F02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14FE" w:rsidRPr="000F028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Application of The Committee for Full Value of Storer </w:t>
      </w:r>
      <w:r w:rsidR="00A914FE" w:rsidRPr="005221EC">
        <w:rPr>
          <w:rFonts w:ascii="Arial" w:hAnsi="Arial" w:cs="Arial"/>
          <w:i/>
          <w:iCs/>
          <w:color w:val="000000" w:themeColor="text1"/>
          <w:sz w:val="24"/>
          <w:szCs w:val="24"/>
        </w:rPr>
        <w:t>Communications, Inc.; For Consent to Transfer of Control</w:t>
      </w:r>
      <w:r w:rsidR="00A914FE" w:rsidRPr="005221EC">
        <w:rPr>
          <w:rFonts w:ascii="Arial" w:hAnsi="Arial" w:cs="Arial"/>
          <w:color w:val="000000" w:themeColor="text1"/>
          <w:sz w:val="24"/>
          <w:szCs w:val="24"/>
        </w:rPr>
        <w:t xml:space="preserve">, 101 FCC 2d 434, 436 (1985), </w:t>
      </w:r>
      <w:r w:rsidR="00A914FE" w:rsidRPr="005221EC">
        <w:rPr>
          <w:rFonts w:ascii="Arial" w:hAnsi="Arial" w:cs="Arial"/>
          <w:i/>
          <w:iCs/>
          <w:color w:val="000000" w:themeColor="text1"/>
          <w:sz w:val="24"/>
          <w:szCs w:val="24"/>
        </w:rPr>
        <w:t>aff’d</w:t>
      </w:r>
      <w:r w:rsidR="00A914FE" w:rsidRPr="005221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14FE" w:rsidRPr="005221EC">
        <w:rPr>
          <w:rFonts w:ascii="Arial" w:hAnsi="Arial" w:cs="Arial"/>
          <w:i/>
          <w:iCs/>
          <w:color w:val="000000" w:themeColor="text1"/>
          <w:sz w:val="24"/>
          <w:szCs w:val="24"/>
        </w:rPr>
        <w:t>Storer Communications, Inc. v. FCC</w:t>
      </w:r>
      <w:r w:rsidR="00A914FE" w:rsidRPr="005221EC">
        <w:rPr>
          <w:rStyle w:val="injectednode"/>
          <w:rFonts w:ascii="Arial" w:hAnsi="Arial" w:cs="Arial"/>
          <w:color w:val="000000" w:themeColor="text1"/>
          <w:sz w:val="24"/>
          <w:szCs w:val="24"/>
        </w:rPr>
        <w:t>, 763 F.2d 436 (1985)</w:t>
      </w:r>
      <w:r w:rsidR="00A914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60AE95" w14:textId="77777777" w:rsidR="00A914FE" w:rsidRPr="003823BB" w:rsidRDefault="00A914FE" w:rsidP="00A914FE">
      <w:pPr>
        <w:rPr>
          <w:rFonts w:ascii="Arial" w:hAnsi="Arial" w:cs="Arial"/>
        </w:rPr>
      </w:pPr>
    </w:p>
    <w:p w14:paraId="07164DB8" w14:textId="339A9BCD" w:rsidR="00A914FE" w:rsidRDefault="00A914FE" w:rsidP="00A914FE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3823BB">
        <w:rPr>
          <w:rFonts w:ascii="Arial" w:hAnsi="Arial" w:cs="Arial"/>
        </w:rPr>
        <w:t xml:space="preserve"> </w:t>
      </w:r>
      <w:r w:rsidRPr="003823BB">
        <w:rPr>
          <w:rFonts w:ascii="Arial" w:hAnsi="Arial" w:cs="Arial"/>
          <w:i/>
          <w:iCs/>
        </w:rPr>
        <w:t>Storer</w:t>
      </w:r>
      <w:r w:rsidRPr="003823BB">
        <w:rPr>
          <w:rFonts w:ascii="Arial" w:hAnsi="Arial" w:cs="Arial"/>
        </w:rPr>
        <w:t>, the Commission authoriz</w:t>
      </w:r>
      <w:r>
        <w:rPr>
          <w:rFonts w:ascii="Arial" w:hAnsi="Arial" w:cs="Arial"/>
        </w:rPr>
        <w:t>ed</w:t>
      </w:r>
      <w:r w:rsidRPr="003823BB">
        <w:rPr>
          <w:rFonts w:ascii="Arial" w:hAnsi="Arial" w:cs="Arial"/>
        </w:rPr>
        <w:t xml:space="preserve"> the relinquishment of </w:t>
      </w:r>
      <w:r w:rsidRPr="00772D76">
        <w:rPr>
          <w:rStyle w:val="ssun"/>
          <w:rFonts w:ascii="Arial" w:hAnsi="Arial" w:cs="Arial"/>
          <w:i/>
          <w:iCs/>
        </w:rPr>
        <w:t>de</w:t>
      </w:r>
      <w:r w:rsidRPr="00772D76">
        <w:rPr>
          <w:rFonts w:ascii="Arial" w:hAnsi="Arial" w:cs="Arial"/>
          <w:i/>
          <w:iCs/>
        </w:rPr>
        <w:t xml:space="preserve"> </w:t>
      </w:r>
      <w:r w:rsidRPr="00772D76">
        <w:rPr>
          <w:rStyle w:val="ssun"/>
          <w:rFonts w:ascii="Arial" w:hAnsi="Arial" w:cs="Arial"/>
          <w:i/>
          <w:iCs/>
        </w:rPr>
        <w:t>facto</w:t>
      </w:r>
      <w:r w:rsidRPr="003823BB">
        <w:rPr>
          <w:rFonts w:ascii="Arial" w:hAnsi="Arial" w:cs="Arial"/>
        </w:rPr>
        <w:t xml:space="preserve"> control of the corporation from the Storer family interests to </w:t>
      </w:r>
      <w:r w:rsidR="000D7840">
        <w:rPr>
          <w:rFonts w:ascii="Arial" w:hAnsi="Arial" w:cs="Arial"/>
        </w:rPr>
        <w:t>“</w:t>
      </w:r>
      <w:r w:rsidRPr="003823BB">
        <w:rPr>
          <w:rFonts w:ascii="Arial" w:hAnsi="Arial" w:cs="Arial"/>
        </w:rPr>
        <w:t>the general public</w:t>
      </w:r>
      <w:r w:rsidR="000D7840">
        <w:rPr>
          <w:rFonts w:ascii="Arial" w:hAnsi="Arial" w:cs="Arial"/>
        </w:rPr>
        <w:t>” using FCC Form 316.</w:t>
      </w:r>
      <w:r w:rsidRPr="003823B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Commission</w:t>
      </w:r>
      <w:r w:rsidRPr="003823BB">
        <w:rPr>
          <w:rFonts w:ascii="Arial" w:hAnsi="Arial" w:cs="Arial"/>
        </w:rPr>
        <w:t xml:space="preserve"> construed the phrase </w:t>
      </w:r>
      <w:r w:rsidR="000D7840">
        <w:rPr>
          <w:rFonts w:ascii="Arial" w:hAnsi="Arial" w:cs="Arial"/>
        </w:rPr>
        <w:t>“</w:t>
      </w:r>
      <w:r w:rsidRPr="003823BB">
        <w:rPr>
          <w:rFonts w:ascii="Arial" w:hAnsi="Arial" w:cs="Arial"/>
        </w:rPr>
        <w:t>the general public</w:t>
      </w:r>
      <w:r w:rsidR="000D7840">
        <w:rPr>
          <w:rFonts w:ascii="Arial" w:hAnsi="Arial" w:cs="Arial"/>
        </w:rPr>
        <w:t>”</w:t>
      </w:r>
      <w:r w:rsidRPr="003823BB">
        <w:rPr>
          <w:rFonts w:ascii="Arial" w:hAnsi="Arial" w:cs="Arial"/>
        </w:rPr>
        <w:t xml:space="preserve"> to mean </w:t>
      </w:r>
      <w:r w:rsidR="000D7840">
        <w:rPr>
          <w:rFonts w:ascii="Arial" w:hAnsi="Arial" w:cs="Arial"/>
        </w:rPr>
        <w:t>the company’</w:t>
      </w:r>
      <w:r w:rsidRPr="003823BB">
        <w:rPr>
          <w:rFonts w:ascii="Arial" w:hAnsi="Arial" w:cs="Arial"/>
        </w:rPr>
        <w:t>s stockholders</w:t>
      </w:r>
      <w:r>
        <w:rPr>
          <w:rFonts w:ascii="Arial" w:hAnsi="Arial" w:cs="Arial"/>
        </w:rPr>
        <w:t xml:space="preserve">. </w:t>
      </w:r>
      <w:r w:rsidRPr="003823BB">
        <w:rPr>
          <w:rFonts w:ascii="Arial" w:hAnsi="Arial" w:cs="Arial"/>
        </w:rPr>
        <w:t xml:space="preserve">The Commission </w:t>
      </w:r>
      <w:r w:rsidR="000D7840">
        <w:rPr>
          <w:rFonts w:ascii="Arial" w:hAnsi="Arial" w:cs="Arial"/>
        </w:rPr>
        <w:t>concluded</w:t>
      </w:r>
      <w:r w:rsidRPr="003823BB">
        <w:rPr>
          <w:rFonts w:ascii="Arial" w:hAnsi="Arial" w:cs="Arial"/>
        </w:rPr>
        <w:t>: “We believe that the use of a short form in this case to permit shareholders to exercise their voting rights as to the internal affairs of the corporation is entirely appropriate. To hold that a long form (along with the procedures associated with the processing of long-form applications) must be submitted and approved before the exercise of the shareholders</w:t>
      </w:r>
      <w:r w:rsidR="000D7840">
        <w:rPr>
          <w:rFonts w:ascii="Arial" w:hAnsi="Arial" w:cs="Arial"/>
        </w:rPr>
        <w:t>’</w:t>
      </w:r>
      <w:r w:rsidRPr="003823BB">
        <w:rPr>
          <w:rFonts w:ascii="Arial" w:hAnsi="Arial" w:cs="Arial"/>
        </w:rPr>
        <w:t xml:space="preserve"> ultimate authority to control the corporation may well thwart the exercise of shareholders</w:t>
      </w:r>
      <w:r w:rsidR="000D7840">
        <w:rPr>
          <w:rFonts w:ascii="Arial" w:hAnsi="Arial" w:cs="Arial"/>
        </w:rPr>
        <w:t>’</w:t>
      </w:r>
      <w:r w:rsidRPr="003823BB">
        <w:rPr>
          <w:rFonts w:ascii="Arial" w:hAnsi="Arial" w:cs="Arial"/>
        </w:rPr>
        <w:t xml:space="preserve"> rights and insulate the Board from shareholder control.</w:t>
      </w:r>
      <w:r>
        <w:rPr>
          <w:rFonts w:ascii="Arial" w:hAnsi="Arial" w:cs="Arial"/>
        </w:rPr>
        <w:t>”</w:t>
      </w:r>
    </w:p>
    <w:p w14:paraId="7DB0392C" w14:textId="77777777" w:rsidR="00A914FE" w:rsidRDefault="00A914FE" w:rsidP="00A914FE">
      <w:pPr>
        <w:rPr>
          <w:rFonts w:ascii="Arial" w:hAnsi="Arial" w:cs="Arial"/>
        </w:rPr>
      </w:pPr>
    </w:p>
    <w:p w14:paraId="6C8E4910" w14:textId="77777777" w:rsidR="00A914FE" w:rsidRDefault="00A914FE" w:rsidP="00A914FE">
      <w:pPr>
        <w:rPr>
          <w:rFonts w:ascii="Arial" w:hAnsi="Arial" w:cs="Arial"/>
        </w:rPr>
      </w:pPr>
      <w:r w:rsidRPr="00D2703F">
        <w:rPr>
          <w:rFonts w:ascii="Arial" w:hAnsi="Arial" w:cs="Arial"/>
        </w:rPr>
        <w:t xml:space="preserve">In 2021, </w:t>
      </w:r>
      <w:r>
        <w:rPr>
          <w:rFonts w:ascii="Arial" w:hAnsi="Arial" w:cs="Arial"/>
        </w:rPr>
        <w:t xml:space="preserve">in an analogous transaction, </w:t>
      </w:r>
      <w:r w:rsidRPr="00D2703F">
        <w:rPr>
          <w:rFonts w:ascii="Arial" w:hAnsi="Arial" w:cs="Arial"/>
        </w:rPr>
        <w:t xml:space="preserve">the Commission approved use of a series of “short form” applications associated with the transfer of control of Townsquare Media (e.g., File No. 0000135340).  In that </w:t>
      </w:r>
      <w:r>
        <w:rPr>
          <w:rFonts w:ascii="Arial" w:hAnsi="Arial" w:cs="Arial"/>
        </w:rPr>
        <w:t>matter</w:t>
      </w:r>
      <w:r w:rsidRPr="00D2703F">
        <w:rPr>
          <w:rFonts w:ascii="Arial" w:hAnsi="Arial" w:cs="Arial"/>
        </w:rPr>
        <w:t xml:space="preserve">, Townsquare explained that, prior to the transfer, Townsquare was controlled by Oaktree Capital Group (“Oaktree”). Pursuant to a Stock Repurchase Agreement between Townsquare and Oaktree, Townsquare underwent a reorganization in two phases.  The first phase, which was accomplished via </w:t>
      </w:r>
      <w:r>
        <w:rPr>
          <w:rFonts w:ascii="Arial" w:hAnsi="Arial" w:cs="Arial"/>
        </w:rPr>
        <w:t>the series of</w:t>
      </w:r>
      <w:r w:rsidRPr="00D2703F">
        <w:rPr>
          <w:rFonts w:ascii="Arial" w:hAnsi="Arial" w:cs="Arial"/>
        </w:rPr>
        <w:t xml:space="preserve"> </w:t>
      </w:r>
      <w:r w:rsidRPr="00D2703F">
        <w:rPr>
          <w:rFonts w:ascii="Arial" w:hAnsi="Arial" w:cs="Arial"/>
          <w:i/>
          <w:iCs/>
        </w:rPr>
        <w:t>pro forma</w:t>
      </w:r>
      <w:r w:rsidRPr="00D2703F">
        <w:rPr>
          <w:rFonts w:ascii="Arial" w:hAnsi="Arial" w:cs="Arial"/>
        </w:rPr>
        <w:t xml:space="preserve"> application</w:t>
      </w:r>
      <w:r>
        <w:rPr>
          <w:rFonts w:ascii="Arial" w:hAnsi="Arial" w:cs="Arial"/>
        </w:rPr>
        <w:t>s</w:t>
      </w:r>
      <w:r w:rsidRPr="00D2703F">
        <w:rPr>
          <w:rFonts w:ascii="Arial" w:hAnsi="Arial" w:cs="Arial"/>
        </w:rPr>
        <w:t xml:space="preserve">, Oaktree ceded control of Townsquare.  </w:t>
      </w:r>
      <w:r>
        <w:rPr>
          <w:rFonts w:ascii="Arial" w:hAnsi="Arial" w:cs="Arial"/>
        </w:rPr>
        <w:t>B</w:t>
      </w:r>
      <w:r w:rsidRPr="00D2703F">
        <w:rPr>
          <w:rFonts w:ascii="Arial" w:hAnsi="Arial" w:cs="Arial"/>
        </w:rPr>
        <w:t xml:space="preserve">ecause Townsquare’s stock not previously owned by Oaktree was publicly-traded, the end result was that no party had control of Townsquare following </w:t>
      </w:r>
      <w:r>
        <w:rPr>
          <w:rFonts w:ascii="Arial" w:hAnsi="Arial" w:cs="Arial"/>
        </w:rPr>
        <w:t>Townsquare’s</w:t>
      </w:r>
      <w:r w:rsidRPr="00D27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repurchase of</w:t>
      </w:r>
      <w:r w:rsidRPr="00D2703F">
        <w:rPr>
          <w:rFonts w:ascii="Arial" w:hAnsi="Arial" w:cs="Arial"/>
        </w:rPr>
        <w:t xml:space="preserve"> Oaktree’s stock – either </w:t>
      </w:r>
      <w:r w:rsidRPr="00830664">
        <w:rPr>
          <w:rFonts w:ascii="Arial" w:hAnsi="Arial" w:cs="Arial"/>
          <w:i/>
          <w:iCs/>
        </w:rPr>
        <w:t xml:space="preserve">de facto </w:t>
      </w:r>
      <w:r w:rsidRPr="00830664">
        <w:rPr>
          <w:rFonts w:ascii="Arial" w:hAnsi="Arial" w:cs="Arial"/>
        </w:rPr>
        <w:t>or</w:t>
      </w:r>
      <w:r w:rsidRPr="00830664">
        <w:rPr>
          <w:rFonts w:ascii="Arial" w:hAnsi="Arial" w:cs="Arial"/>
          <w:i/>
          <w:iCs/>
        </w:rPr>
        <w:t xml:space="preserve"> de jure</w:t>
      </w:r>
      <w:r w:rsidRPr="00D2703F">
        <w:rPr>
          <w:rFonts w:ascii="Arial" w:hAnsi="Arial" w:cs="Arial"/>
        </w:rPr>
        <w:t xml:space="preserve">, affirmative or negative. Furthermore, as Townsquare explained, there </w:t>
      </w:r>
      <w:r>
        <w:rPr>
          <w:rFonts w:ascii="Arial" w:hAnsi="Arial" w:cs="Arial"/>
        </w:rPr>
        <w:t>were</w:t>
      </w:r>
      <w:r w:rsidRPr="00D2703F">
        <w:rPr>
          <w:rFonts w:ascii="Arial" w:hAnsi="Arial" w:cs="Arial"/>
        </w:rPr>
        <w:t xml:space="preserve"> no changes to Townsquare’s Board of Directors following the consummation of the initial stock repurchase.</w:t>
      </w:r>
      <w:r>
        <w:rPr>
          <w:rFonts w:ascii="Arial" w:hAnsi="Arial" w:cs="Arial"/>
        </w:rPr>
        <w:t xml:space="preserve">  Accordingly, the Commission confirmed that the use of “short form” applications was appropriate.</w:t>
      </w:r>
    </w:p>
    <w:p w14:paraId="2995E339" w14:textId="77777777" w:rsidR="00A914FE" w:rsidRDefault="00A914FE" w:rsidP="00A914FE">
      <w:pPr>
        <w:rPr>
          <w:rFonts w:ascii="Arial" w:hAnsi="Arial" w:cs="Arial"/>
        </w:rPr>
      </w:pPr>
    </w:p>
    <w:p w14:paraId="4147C7A2" w14:textId="6EA68965" w:rsidR="00A914FE" w:rsidRPr="00905A0C" w:rsidRDefault="00A914FE" w:rsidP="00905A0C">
      <w:pPr>
        <w:pStyle w:val="FootnoteText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Just as in the Townsquare proceeding (and </w:t>
      </w:r>
      <w:r w:rsidRPr="00E04017">
        <w:rPr>
          <w:rFonts w:ascii="Arial" w:hAnsi="Arial" w:cs="Arial"/>
          <w:i/>
          <w:iCs/>
        </w:rPr>
        <w:t>Storer</w:t>
      </w:r>
      <w:r>
        <w:rPr>
          <w:rFonts w:ascii="Arial" w:hAnsi="Arial" w:cs="Arial"/>
        </w:rPr>
        <w:t xml:space="preserve">), following Mr. Christian’s passing, there will be no party that has control of Saga – just its </w:t>
      </w:r>
      <w:r w:rsidR="00830664">
        <w:rPr>
          <w:rFonts w:ascii="Arial" w:hAnsi="Arial" w:cs="Arial"/>
        </w:rPr>
        <w:t xml:space="preserve">Class A </w:t>
      </w:r>
      <w:r>
        <w:rPr>
          <w:rFonts w:ascii="Arial" w:hAnsi="Arial" w:cs="Arial"/>
        </w:rPr>
        <w:t>shareholders who are members of the “general public.”  And, just as in the Townsquare proceeding, no changes will be proposed to Saga’s Board of Directors</w:t>
      </w:r>
      <w:r w:rsidR="00D05910">
        <w:rPr>
          <w:rFonts w:ascii="Arial" w:hAnsi="Arial" w:cs="Arial"/>
        </w:rPr>
        <w:t xml:space="preserve"> (other than the elevation of Mr. Forgy to the Board in </w:t>
      </w:r>
      <w:r w:rsidR="00D05910" w:rsidRPr="00D05910">
        <w:rPr>
          <w:rFonts w:ascii="Arial" w:hAnsi="Arial" w:cs="Arial"/>
          <w:i/>
          <w:iCs/>
        </w:rPr>
        <w:t>lieu</w:t>
      </w:r>
      <w:r w:rsidR="00D05910">
        <w:rPr>
          <w:rFonts w:ascii="Arial" w:hAnsi="Arial" w:cs="Arial"/>
        </w:rPr>
        <w:t xml:space="preserve"> of Mr. Christian</w:t>
      </w:r>
      <w:r>
        <w:rPr>
          <w:rFonts w:ascii="Arial" w:hAnsi="Arial" w:cs="Arial"/>
        </w:rPr>
        <w:t>.</w:t>
      </w:r>
      <w:r w:rsidR="00905A0C">
        <w:rPr>
          <w:rFonts w:ascii="Arial" w:hAnsi="Arial" w:cs="Arial"/>
        </w:rPr>
        <w:t xml:space="preserve">  Accordingly, Saga requests </w:t>
      </w:r>
      <w:r w:rsidR="00EF55B4">
        <w:rPr>
          <w:rFonts w:ascii="Arial" w:hAnsi="Arial" w:cs="Arial"/>
        </w:rPr>
        <w:t>similar</w:t>
      </w:r>
      <w:r w:rsidR="00905A0C">
        <w:rPr>
          <w:rFonts w:ascii="Arial" w:hAnsi="Arial" w:cs="Arial"/>
        </w:rPr>
        <w:t xml:space="preserve"> treatment from the Commission of the 12 pro forma applications being filed today that were afforded to other broadcast </w:t>
      </w:r>
      <w:r w:rsidR="00905A0C" w:rsidRPr="00905A0C">
        <w:rPr>
          <w:rFonts w:ascii="Arial" w:hAnsi="Arial" w:cs="Arial"/>
          <w:szCs w:val="24"/>
        </w:rPr>
        <w:t xml:space="preserve">licensees.  </w:t>
      </w:r>
      <w:r w:rsidR="00905A0C" w:rsidRPr="00905A0C">
        <w:rPr>
          <w:rFonts w:ascii="Arial" w:hAnsi="Arial" w:cs="Arial"/>
          <w:i/>
          <w:iCs/>
          <w:szCs w:val="24"/>
        </w:rPr>
        <w:t>See Melody Music, Inc. v. FCC</w:t>
      </w:r>
      <w:r w:rsidR="00905A0C" w:rsidRPr="00905A0C">
        <w:rPr>
          <w:rFonts w:ascii="Arial" w:hAnsi="Arial" w:cs="Arial"/>
          <w:szCs w:val="24"/>
        </w:rPr>
        <w:t>, 345 F.2d 730, 732-33 (D.C. Cir. 1965).</w:t>
      </w:r>
      <w:r w:rsidR="00905A0C">
        <w:rPr>
          <w:rFonts w:ascii="Arial" w:hAnsi="Arial" w:cs="Arial"/>
          <w:szCs w:val="24"/>
        </w:rPr>
        <w:t xml:space="preserve">  </w:t>
      </w:r>
    </w:p>
    <w:p w14:paraId="79C25A87" w14:textId="77777777" w:rsidR="00A914FE" w:rsidRPr="00CB2F3B" w:rsidRDefault="00A914FE" w:rsidP="007F0416">
      <w:pPr>
        <w:pStyle w:val="NormalWeb"/>
        <w:rPr>
          <w:rFonts w:ascii="Arial" w:hAnsi="Arial" w:cs="Arial"/>
        </w:rPr>
      </w:pPr>
    </w:p>
    <w:sectPr w:rsidR="00A914FE" w:rsidRPr="00CB2F3B" w:rsidSect="00E1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6E0E" w14:textId="77777777" w:rsidR="00BD4F81" w:rsidRDefault="00BD4F81" w:rsidP="00905A0C">
      <w:r>
        <w:separator/>
      </w:r>
    </w:p>
  </w:endnote>
  <w:endnote w:type="continuationSeparator" w:id="0">
    <w:p w14:paraId="526C0C88" w14:textId="77777777" w:rsidR="00BD4F81" w:rsidRDefault="00BD4F81" w:rsidP="0090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0C2E" w14:textId="77777777" w:rsidR="00BD4F81" w:rsidRDefault="00BD4F81" w:rsidP="00905A0C">
      <w:r>
        <w:separator/>
      </w:r>
    </w:p>
  </w:footnote>
  <w:footnote w:type="continuationSeparator" w:id="0">
    <w:p w14:paraId="24DEF70F" w14:textId="77777777" w:rsidR="00BD4F81" w:rsidRDefault="00BD4F81" w:rsidP="00905A0C">
      <w:r>
        <w:continuationSeparator/>
      </w:r>
    </w:p>
  </w:footnote>
  <w:footnote w:id="1">
    <w:p w14:paraId="1DFA77BA" w14:textId="320F90DF" w:rsidR="00A70BB3" w:rsidRPr="00A70BB3" w:rsidRDefault="00A70BB3">
      <w:pPr>
        <w:pStyle w:val="FootnoteText"/>
        <w:rPr>
          <w:rFonts w:ascii="Arial" w:hAnsi="Arial" w:cs="Arial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A70BB3">
        <w:rPr>
          <w:rFonts w:ascii="Arial" w:hAnsi="Arial" w:cs="Arial"/>
          <w:sz w:val="20"/>
        </w:rPr>
        <w:t xml:space="preserve">In prior filings, Marcia Lobaito, corporate secretary, was </w:t>
      </w:r>
      <w:r>
        <w:rPr>
          <w:rFonts w:ascii="Arial" w:hAnsi="Arial" w:cs="Arial"/>
          <w:sz w:val="20"/>
        </w:rPr>
        <w:t xml:space="preserve">inadvertently </w:t>
      </w:r>
      <w:r w:rsidRPr="00A70BB3">
        <w:rPr>
          <w:rFonts w:ascii="Arial" w:hAnsi="Arial" w:cs="Arial"/>
          <w:sz w:val="20"/>
        </w:rPr>
        <w:t>not reported as a member of the board of directors.</w:t>
      </w:r>
      <w:r>
        <w:rPr>
          <w:rFonts w:ascii="Arial" w:hAnsi="Arial" w:cs="Arial"/>
          <w:sz w:val="20"/>
        </w:rPr>
        <w:t xml:space="preserve">  She was a director before Mr. Christian’s death, and remains so.  This has been corrected in the Comprehensive Exhibit accompanying this application.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16"/>
    <w:rsid w:val="000462BF"/>
    <w:rsid w:val="0007053E"/>
    <w:rsid w:val="00074B91"/>
    <w:rsid w:val="000D7840"/>
    <w:rsid w:val="000E3239"/>
    <w:rsid w:val="00105361"/>
    <w:rsid w:val="00105921"/>
    <w:rsid w:val="001F3E91"/>
    <w:rsid w:val="00256115"/>
    <w:rsid w:val="002D1580"/>
    <w:rsid w:val="002E2489"/>
    <w:rsid w:val="003859EB"/>
    <w:rsid w:val="004057A5"/>
    <w:rsid w:val="004229F7"/>
    <w:rsid w:val="00436F1B"/>
    <w:rsid w:val="00463674"/>
    <w:rsid w:val="005226D0"/>
    <w:rsid w:val="00604CF8"/>
    <w:rsid w:val="0061276E"/>
    <w:rsid w:val="006470E3"/>
    <w:rsid w:val="0067751E"/>
    <w:rsid w:val="006E2669"/>
    <w:rsid w:val="006F2A92"/>
    <w:rsid w:val="00745BD9"/>
    <w:rsid w:val="007F0416"/>
    <w:rsid w:val="00830664"/>
    <w:rsid w:val="008F7605"/>
    <w:rsid w:val="00905A0C"/>
    <w:rsid w:val="00A05C5C"/>
    <w:rsid w:val="00A46A7E"/>
    <w:rsid w:val="00A70BB3"/>
    <w:rsid w:val="00A914FE"/>
    <w:rsid w:val="00A92D09"/>
    <w:rsid w:val="00AE175A"/>
    <w:rsid w:val="00B52203"/>
    <w:rsid w:val="00B76B5A"/>
    <w:rsid w:val="00BD4F81"/>
    <w:rsid w:val="00BF7044"/>
    <w:rsid w:val="00CB2F3B"/>
    <w:rsid w:val="00CE34CF"/>
    <w:rsid w:val="00CE6884"/>
    <w:rsid w:val="00D02F00"/>
    <w:rsid w:val="00D05910"/>
    <w:rsid w:val="00D179FE"/>
    <w:rsid w:val="00E10B96"/>
    <w:rsid w:val="00E17B48"/>
    <w:rsid w:val="00E36574"/>
    <w:rsid w:val="00E938A0"/>
    <w:rsid w:val="00EA219B"/>
    <w:rsid w:val="00EF55B4"/>
    <w:rsid w:val="00F22314"/>
    <w:rsid w:val="00F34BD3"/>
    <w:rsid w:val="00F863ED"/>
    <w:rsid w:val="00F91C38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0EF6"/>
  <w15:chartTrackingRefBased/>
  <w15:docId w15:val="{6FECE3AC-7FBB-7D42-9A6B-F7BC97A0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4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ntpanediv1">
    <w:name w:val="contentpanediv1"/>
    <w:basedOn w:val="DefaultParagraphFont"/>
    <w:rsid w:val="000E3239"/>
  </w:style>
  <w:style w:type="character" w:customStyle="1" w:styleId="Heading1Char">
    <w:name w:val="Heading 1 Char"/>
    <w:basedOn w:val="DefaultParagraphFont"/>
    <w:link w:val="Heading1"/>
    <w:uiPriority w:val="9"/>
    <w:rsid w:val="00A91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sun">
    <w:name w:val="ss_un"/>
    <w:basedOn w:val="DefaultParagraphFont"/>
    <w:rsid w:val="00A914FE"/>
  </w:style>
  <w:style w:type="character" w:customStyle="1" w:styleId="injectednode">
    <w:name w:val="injectednode"/>
    <w:basedOn w:val="DefaultParagraphFont"/>
    <w:rsid w:val="00A914FE"/>
  </w:style>
  <w:style w:type="paragraph" w:styleId="FootnoteText">
    <w:name w:val="footnote text"/>
    <w:basedOn w:val="Normal"/>
    <w:link w:val="FootnoteTextChar"/>
    <w:uiPriority w:val="99"/>
    <w:unhideWhenUsed/>
    <w:rsid w:val="00905A0C"/>
    <w:pPr>
      <w:spacing w:after="120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5A0C"/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5A0C"/>
    <w:rPr>
      <w:vertAlign w:val="superscript"/>
    </w:rPr>
  </w:style>
  <w:style w:type="character" w:customStyle="1" w:styleId="apple-converted-space">
    <w:name w:val="apple-converted-space"/>
    <w:basedOn w:val="DefaultParagraphFont"/>
    <w:rsid w:val="00A7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43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CAA0ED-4009-DD4F-AA2F-411D951E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Smithwick</dc:creator>
  <cp:keywords/>
  <dc:description/>
  <cp:lastModifiedBy>Gary Smithwick</cp:lastModifiedBy>
  <cp:revision>2</cp:revision>
  <cp:lastPrinted>2022-12-09T14:23:00Z</cp:lastPrinted>
  <dcterms:created xsi:type="dcterms:W3CDTF">2023-01-20T15:00:00Z</dcterms:created>
  <dcterms:modified xsi:type="dcterms:W3CDTF">2023-01-20T15:00:00Z</dcterms:modified>
</cp:coreProperties>
</file>