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Calibri" w:hAnsi="Calibri" w:cs="Calibri"/>
          <w:b/>
          <w:bCs/>
          <w:u w:val="single"/>
        </w:rPr>
      </w:pPr>
      <w:r>
        <w:rPr>
          <w:rFonts w:ascii="Calibri" w:hAnsi="Calibri" w:cs="Calibri"/>
          <w:b/>
          <w:bCs/>
          <w:u w:val="single"/>
        </w:rPr>
        <w:t>Online Public Inspection File</w:t>
      </w:r>
    </w:p>
    <w:p>
      <w:pPr>
        <w:rPr>
          <w:rFonts w:ascii="Calibri" w:hAnsi="Calibri" w:cs="Calibri"/>
        </w:rPr>
      </w:pPr>
    </w:p>
    <w:p>
      <w:pPr>
        <w:pStyle w:val="BodyText"/>
        <w:rPr>
          <w:rFonts w:ascii="Calibri" w:hAnsi="Calibri" w:cs="Calibri"/>
        </w:rPr>
      </w:pPr>
      <w:r>
        <w:rPr>
          <w:rFonts w:ascii="Calibri" w:hAnsi="Calibri" w:cs="Calibri"/>
        </w:rPr>
        <w:tab/>
        <w:t xml:space="preserve">BHTV License LLC acquired the license of television station KGWC-TV and </w:t>
      </w:r>
      <w:proofErr w:type="spellStart"/>
      <w:r>
        <w:rPr>
          <w:rFonts w:ascii="Calibri" w:hAnsi="Calibri" w:cs="Calibri"/>
        </w:rPr>
        <w:t>its</w:t>
      </w:r>
      <w:proofErr w:type="spellEnd"/>
      <w:r>
        <w:rPr>
          <w:rFonts w:ascii="Calibri" w:hAnsi="Calibri" w:cs="Calibri"/>
        </w:rPr>
        <w:t xml:space="preserve"> satellite stations KGWL-TV and KGWR-TV on June 1, </w:t>
      </w:r>
      <w:proofErr w:type="gramStart"/>
      <w:r>
        <w:rPr>
          <w:rFonts w:ascii="Calibri" w:hAnsi="Calibri" w:cs="Calibri"/>
        </w:rPr>
        <w:t>2020</w:t>
      </w:r>
      <w:proofErr w:type="gramEnd"/>
      <w:r>
        <w:rPr>
          <w:rFonts w:ascii="Calibri" w:hAnsi="Calibri" w:cs="Calibri"/>
        </w:rPr>
        <w:t xml:space="preserve"> pursuant to a long-form assignment of licensee (</w:t>
      </w:r>
      <w:r>
        <w:rPr>
          <w:rFonts w:ascii="Calibri" w:hAnsi="Calibri" w:cs="Calibri"/>
          <w:i/>
          <w:iCs/>
        </w:rPr>
        <w:t>see</w:t>
      </w:r>
      <w:r>
        <w:rPr>
          <w:rFonts w:ascii="Calibri" w:hAnsi="Calibri" w:cs="Calibri"/>
        </w:rPr>
        <w:t xml:space="preserve"> BALCDT-20191015AAU), and accordingly its responses herein cover only the period of time beginning on that date.  Licensee believes that the Online Public Inspection File (“OPIF”) of KGWC-TV is substantially complete and that throughout the </w:t>
      </w:r>
      <w:proofErr w:type="gramStart"/>
      <w:r>
        <w:rPr>
          <w:rFonts w:ascii="Calibri" w:hAnsi="Calibri" w:cs="Calibri"/>
        </w:rPr>
        <w:t>period of time</w:t>
      </w:r>
      <w:proofErr w:type="gramEnd"/>
      <w:r>
        <w:rPr>
          <w:rFonts w:ascii="Calibri" w:hAnsi="Calibri" w:cs="Calibri"/>
        </w:rPr>
        <w:t xml:space="preserve"> covered by this application it substantially complied with the FCC’s rules regarding the OPIF, although Licensee</w:t>
      </w:r>
      <w:r>
        <w:rPr>
          <w:rFonts w:ascii="Calibri" w:hAnsi="Calibri" w:cs="Calibri"/>
        </w:rPr>
        <w:t xml:space="preserve"> uploaded the Station’s issues and programs list for the second quarter of 2020 (covering only the portion of that quarter during which Licensee owned the station) after the applicable deadline.</w:t>
      </w:r>
      <w:r>
        <w:rPr>
          <w:rFonts w:ascii="Calibri" w:hAnsi="Calibri" w:cs="Calibri"/>
        </w:rPr>
        <w:t xml:space="preserve">  Licensee also is unable to certify that all documentation required to be uploaded to the station’s political file was uploaded in a complete and/or timely manner, although it believes that it materially complied with the Commission’s political file rules.  Licensee will continue to review its procedures for posting to the online political file and will endeavor in the future to completely comply with the Station’s Political File reporting requirements in a timely manner.    </w:t>
      </w:r>
    </w:p>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C:\Users\dkirkpatrick\Desktop\Big Horn Renewal Public File Exhibit.docx</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C:\Users\dkirkpatrick\Desktop\Big Horn Renewal Public File Exhibit.docx</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0660B"/>
    <w:multiLevelType w:val="multilevel"/>
    <w:tmpl w:val="4296ECDC"/>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DateText" w:val="True"/>
    <w:docVar w:name="DocIDType" w:val="AllPages"/>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97B51-5439-4390-AA5A-5BDF6C53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HBody"/>
    <w:link w:val="Heading1Char"/>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semiHidden/>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H%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Adamchak, Keenan</dc:creator>
  <cp:keywords/>
  <dc:description/>
  <cp:lastModifiedBy>Kirkpatrick, Daniel</cp:lastModifiedBy>
  <cp:revision>4</cp:revision>
  <dcterms:created xsi:type="dcterms:W3CDTF">2022-05-17T15:43:00Z</dcterms:created>
  <dcterms:modified xsi:type="dcterms:W3CDTF">2022-05-17T15:49:00Z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C:\Users\dkirkpatrick\Desktop\Big Horn Renewal Public File Exhibit.docx</vt:lpwstr>
  </property>
  <property fmtid="{D5CDD505-2E9C-101B-9397-08002B2CF9AE}" pid="4" name="ndDocumentId">
    <vt:lpwstr>4854-6238-5667</vt:lpwstr>
  </property>
</Properties>
</file>