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9941" w14:textId="77777777" w:rsidR="0084368E" w:rsidRPr="007368A0" w:rsidRDefault="0084368E" w:rsidP="00E74CCE">
      <w:pPr>
        <w:jc w:val="both"/>
        <w:rPr>
          <w:rFonts w:cstheme="minorHAnsi"/>
          <w:b/>
          <w:bCs/>
          <w:u w:val="single"/>
        </w:rPr>
      </w:pPr>
      <w:r>
        <w:rPr>
          <w:rFonts w:cstheme="minorHAnsi"/>
          <w:b/>
          <w:bCs/>
          <w:u w:val="single"/>
        </w:rPr>
        <w:t xml:space="preserve">Supplemental </w:t>
      </w:r>
      <w:r w:rsidRPr="007368A0">
        <w:rPr>
          <w:rFonts w:cstheme="minorHAnsi"/>
          <w:b/>
          <w:bCs/>
          <w:u w:val="single"/>
        </w:rPr>
        <w:t>Request for Further Tolling</w:t>
      </w:r>
      <w:r>
        <w:rPr>
          <w:rFonts w:cstheme="minorHAnsi"/>
          <w:b/>
          <w:bCs/>
          <w:u w:val="single"/>
        </w:rPr>
        <w:t xml:space="preserve"> </w:t>
      </w:r>
      <w:r w:rsidRPr="004E7A0C">
        <w:rPr>
          <w:rFonts w:cstheme="minorHAnsi"/>
          <w:b/>
          <w:bCs/>
          <w:u w:val="single"/>
        </w:rPr>
        <w:t>and Extension of Silent STA and Authority to Remain Silent</w:t>
      </w:r>
    </w:p>
    <w:p w14:paraId="4867E4A1" w14:textId="396FBC24" w:rsidR="00D55547" w:rsidRDefault="00E74CCE" w:rsidP="00E74CCE">
      <w:pPr>
        <w:pStyle w:val="Header"/>
        <w:tabs>
          <w:tab w:val="left" w:pos="720"/>
        </w:tabs>
      </w:pPr>
      <w:r>
        <w:rPr>
          <w:rFonts w:cstheme="minorHAnsi"/>
        </w:rPr>
        <w:tab/>
      </w:r>
      <w:r w:rsidR="00D55547">
        <w:rPr>
          <w:rFonts w:cstheme="minorHAnsi"/>
        </w:rPr>
        <w:t>Edge Spectrum, Inc.</w:t>
      </w:r>
      <w:r w:rsidR="00D55547" w:rsidRPr="007368A0">
        <w:rPr>
          <w:rFonts w:cstheme="minorHAnsi"/>
        </w:rPr>
        <w:t xml:space="preserve"> (“</w:t>
      </w:r>
      <w:r w:rsidR="00D55547">
        <w:rPr>
          <w:rFonts w:cstheme="minorHAnsi"/>
        </w:rPr>
        <w:t>Licensee</w:t>
      </w:r>
      <w:r w:rsidR="00D55547" w:rsidRPr="007368A0">
        <w:rPr>
          <w:rFonts w:cstheme="minorHAnsi"/>
        </w:rPr>
        <w:t xml:space="preserve">”), licensee and permittee of </w:t>
      </w:r>
      <w:r w:rsidR="003A5DAD" w:rsidRPr="0053116D">
        <w:t>K</w:t>
      </w:r>
      <w:r w:rsidR="003A5DAD">
        <w:t>39EO</w:t>
      </w:r>
      <w:r w:rsidR="003A5DAD" w:rsidRPr="0053116D">
        <w:t>-D</w:t>
      </w:r>
      <w:r w:rsidR="000311B5">
        <w:t>/K19KR-D</w:t>
      </w:r>
      <w:r w:rsidR="003A5DAD">
        <w:t xml:space="preserve"> Facility ID </w:t>
      </w:r>
      <w:r w:rsidR="003A5DAD" w:rsidRPr="0053116D">
        <w:t>1</w:t>
      </w:r>
      <w:r w:rsidR="003A5DAD">
        <w:t xml:space="preserve">7401 </w:t>
      </w:r>
      <w:r w:rsidR="00627B46">
        <w:t xml:space="preserve">serving </w:t>
      </w:r>
      <w:r w:rsidR="003A5DAD">
        <w:t>Crescent City, CA</w:t>
      </w:r>
      <w:r w:rsidR="00627B46" w:rsidRPr="00625842">
        <w:t xml:space="preserve"> </w:t>
      </w:r>
      <w:r w:rsidR="00D55547" w:rsidRPr="007368A0">
        <w:rPr>
          <w:rFonts w:cstheme="minorHAnsi"/>
        </w:rPr>
        <w:t>(the “Station”)</w:t>
      </w:r>
      <w:r w:rsidR="005E7032">
        <w:rPr>
          <w:rFonts w:cstheme="minorHAnsi"/>
        </w:rPr>
        <w:t>,</w:t>
      </w:r>
      <w:r w:rsidR="00D55547" w:rsidRPr="007368A0">
        <w:rPr>
          <w:rFonts w:cstheme="minorHAnsi"/>
        </w:rPr>
        <w:t xml:space="preserve"> hereby requests further tolling of the Station’s d</w:t>
      </w:r>
      <w:r w:rsidR="00D55547">
        <w:rPr>
          <w:rFonts w:cstheme="minorHAnsi"/>
        </w:rPr>
        <w:t>isplacement</w:t>
      </w:r>
      <w:r w:rsidR="00D55547" w:rsidRPr="007368A0">
        <w:rPr>
          <w:rFonts w:cstheme="minorHAnsi"/>
        </w:rPr>
        <w:t xml:space="preserve"> construction permit (</w:t>
      </w:r>
      <w:r w:rsidR="00D55547" w:rsidRPr="00500249">
        <w:rPr>
          <w:rFonts w:cstheme="minorHAnsi"/>
        </w:rPr>
        <w:t xml:space="preserve">LMS File No. </w:t>
      </w:r>
      <w:r w:rsidR="000311B5">
        <w:rPr>
          <w:rFonts w:cstheme="minorHAnsi"/>
        </w:rPr>
        <w:t>0000195102</w:t>
      </w:r>
      <w:r w:rsidR="00D55547" w:rsidRPr="007368A0">
        <w:rPr>
          <w:rFonts w:cstheme="minorHAnsi"/>
        </w:rPr>
        <w:t xml:space="preserve"> (the “CP”)</w:t>
      </w:r>
      <w:r w:rsidR="00D55547">
        <w:rPr>
          <w:rFonts w:cstheme="minorHAnsi"/>
        </w:rPr>
        <w:t>,</w:t>
      </w:r>
      <w:r w:rsidR="00D55547" w:rsidRPr="007368A0">
        <w:rPr>
          <w:rFonts w:cstheme="minorHAnsi"/>
        </w:rPr>
        <w:t xml:space="preserve"> </w:t>
      </w:r>
      <w:r w:rsidR="00D55547" w:rsidRPr="004E7A0C">
        <w:rPr>
          <w:rFonts w:cstheme="minorHAnsi"/>
        </w:rPr>
        <w:t xml:space="preserve">an extension of the Station’s authority to remain silent, and a waiver of the </w:t>
      </w:r>
      <w:r w:rsidR="00D55547" w:rsidRPr="004E7A0C">
        <w:t>deadline by which the Station must return to the air or forfeit its license pursuant to Section 312(g) of the Communications Act of 1934, as amended.</w:t>
      </w:r>
      <w:r w:rsidR="00D55547">
        <w:t xml:space="preserve"> </w:t>
      </w:r>
      <w:r w:rsidR="00D55547" w:rsidRPr="00D55547">
        <w:t xml:space="preserve">As described herein, </w:t>
      </w:r>
      <w:r>
        <w:t>Licensee</w:t>
      </w:r>
      <w:r w:rsidR="00D55547" w:rsidRPr="00D55547">
        <w:t xml:space="preserve"> has been working diligently to complete construction of the Station’s displacement facilities. </w:t>
      </w:r>
      <w:r w:rsidR="00D55547">
        <w:t>Nevertheless,</w:t>
      </w:r>
      <w:r w:rsidR="00D55547" w:rsidRPr="00D55547">
        <w:t xml:space="preserve"> </w:t>
      </w:r>
      <w:r w:rsidR="005A1862">
        <w:t xml:space="preserve">as described herein, </w:t>
      </w:r>
      <w:r>
        <w:t>Licensee</w:t>
      </w:r>
      <w:r w:rsidRPr="00D55547">
        <w:t xml:space="preserve"> </w:t>
      </w:r>
      <w:r w:rsidR="00D55547" w:rsidRPr="00D55547">
        <w:t>has e</w:t>
      </w:r>
      <w:r w:rsidR="005A1862">
        <w:t>ncountered circumstances beyond its control that have precluded it from completing construction before the September 6 deadline</w:t>
      </w:r>
      <w:r w:rsidR="00D55547">
        <w:t>.</w:t>
      </w:r>
    </w:p>
    <w:p w14:paraId="3699CFF1" w14:textId="77777777" w:rsidR="00D55547" w:rsidRDefault="00D55547" w:rsidP="00D55547">
      <w:pPr>
        <w:pStyle w:val="Header"/>
        <w:tabs>
          <w:tab w:val="left" w:pos="720"/>
        </w:tabs>
        <w:jc w:val="both"/>
      </w:pPr>
    </w:p>
    <w:p w14:paraId="513641F0" w14:textId="0F11962F" w:rsidR="000026BD" w:rsidRDefault="00D55547" w:rsidP="00D82F74">
      <w:pPr>
        <w:ind w:firstLine="720"/>
      </w:pPr>
      <w:r w:rsidRPr="00D55547">
        <w:t xml:space="preserve">The Station was displaced </w:t>
      </w:r>
      <w:r w:rsidR="005A1862">
        <w:t>as a result of</w:t>
      </w:r>
      <w:r w:rsidRPr="00D55547">
        <w:t xml:space="preserve"> the post incentive auction repack.  Licensee</w:t>
      </w:r>
      <w:r w:rsidR="005A1862">
        <w:t xml:space="preserve"> has experienced two </w:t>
      </w:r>
      <w:r w:rsidRPr="00D55547">
        <w:t>primary delays in its efforts to complete construction of the Station’s displacement facilities</w:t>
      </w:r>
      <w:r w:rsidR="005A1862">
        <w:t xml:space="preserve">: (1) difficulty obtaining all of the necessary equipment </w:t>
      </w:r>
      <w:r w:rsidR="000026BD">
        <w:t xml:space="preserve">resulting from a combination of manufacturer delays and </w:t>
      </w:r>
      <w:r w:rsidR="005A1862">
        <w:t>supply chain disruptions, which Licensee has detailed in prior submissions; and (2) issues with site availability and permitting</w:t>
      </w:r>
      <w:r w:rsidRPr="00D55547">
        <w:t xml:space="preserve">. </w:t>
      </w:r>
      <w:r w:rsidR="000026BD">
        <w:t>In the period s</w:t>
      </w:r>
      <w:r w:rsidR="005A1862">
        <w:t>ince Licensee last requested tolling,</w:t>
      </w:r>
      <w:r w:rsidR="000026BD">
        <w:t xml:space="preserve"> all of the equipment availability issues have been resolved, and the equipment needed to construct the Station has either been delivered to the transmission site or is ready for delivery at the Licensee’s request.</w:t>
      </w:r>
      <w:r w:rsidR="004E765F">
        <w:t xml:space="preserve"> </w:t>
      </w:r>
      <w:bookmarkStart w:id="0" w:name="_Hlk112851878"/>
      <w:r w:rsidR="004E765F">
        <w:t>Th</w:t>
      </w:r>
      <w:r w:rsidR="00E74CCE">
        <w:t>u</w:t>
      </w:r>
      <w:r w:rsidR="004E765F">
        <w:t>s, all that is left is to obtain the necessary approvals and complete construction.</w:t>
      </w:r>
      <w:bookmarkEnd w:id="0"/>
    </w:p>
    <w:p w14:paraId="6D7F2C33" w14:textId="11D97F93" w:rsidR="00FF71D6" w:rsidRPr="009913E1" w:rsidRDefault="00B12983" w:rsidP="00D82F74">
      <w:pPr>
        <w:ind w:firstLine="720"/>
      </w:pPr>
      <w:r w:rsidRPr="009913E1">
        <w:t xml:space="preserve">ARK Multicasting (“ARK”), on behalf of Licensee, hired </w:t>
      </w:r>
      <w:r w:rsidR="00651354">
        <w:t xml:space="preserve">American Tower Corp. (“ATC”) to manage all aspects of the site approval process </w:t>
      </w:r>
      <w:r w:rsidRPr="009913E1">
        <w:t>for project</w:t>
      </w:r>
      <w:r w:rsidR="00BF083E" w:rsidRPr="009913E1">
        <w:t>s,</w:t>
      </w:r>
      <w:r w:rsidRPr="009913E1">
        <w:t xml:space="preserve"> such as this one</w:t>
      </w:r>
      <w:r w:rsidR="00BF083E" w:rsidRPr="009913E1">
        <w:t>,</w:t>
      </w:r>
      <w:r w:rsidRPr="009913E1">
        <w:t xml:space="preserve"> at sites owned and/or operated by </w:t>
      </w:r>
      <w:r w:rsidR="00651354">
        <w:t>ATC</w:t>
      </w:r>
      <w:r w:rsidRPr="009913E1">
        <w:t xml:space="preserve">. </w:t>
      </w:r>
      <w:r w:rsidR="000026BD" w:rsidRPr="009913E1">
        <w:t xml:space="preserve">However, </w:t>
      </w:r>
      <w:r w:rsidR="00E21ED9" w:rsidRPr="009913E1">
        <w:t xml:space="preserve">Licensee has continued to face delays resulting from leasing and permitting. </w:t>
      </w:r>
      <w:r w:rsidRPr="009913E1">
        <w:t xml:space="preserve">A summary of the Licensee’s recent efforts to obtain the necessary authorizations to complete construction of the Station’s facilities is provided below and supported by the attached </w:t>
      </w:r>
      <w:r w:rsidR="00651354">
        <w:t>email from ATC</w:t>
      </w:r>
      <w:r w:rsidRPr="009913E1">
        <w:t>:</w:t>
      </w:r>
    </w:p>
    <w:p w14:paraId="6B6C4E29" w14:textId="1FE0BF5D" w:rsidR="00060A06" w:rsidRDefault="00060A06" w:rsidP="00B12983">
      <w:pPr>
        <w:pStyle w:val="ListParagraph"/>
        <w:numPr>
          <w:ilvl w:val="0"/>
          <w:numId w:val="1"/>
        </w:numPr>
        <w:ind w:left="0" w:firstLine="720"/>
      </w:pPr>
      <w:r>
        <w:t xml:space="preserve">February 5, 2020 – ARK provides ATC with a station list to identify ATC assets </w:t>
      </w:r>
      <w:r w:rsidR="006C555E">
        <w:t>to house ARK stations</w:t>
      </w:r>
    </w:p>
    <w:p w14:paraId="74B1E689" w14:textId="6E5322EF" w:rsidR="006C555E" w:rsidRDefault="006C555E" w:rsidP="00B12983">
      <w:pPr>
        <w:pStyle w:val="ListParagraph"/>
        <w:numPr>
          <w:ilvl w:val="0"/>
          <w:numId w:val="1"/>
        </w:numPr>
        <w:ind w:left="0" w:firstLine="720"/>
      </w:pPr>
      <w:r>
        <w:t>February 5, 2020 – ATC provides initial scrub of ATC assets within 10 miles of ARK assets</w:t>
      </w:r>
    </w:p>
    <w:p w14:paraId="743C709A" w14:textId="0C1A042B" w:rsidR="002C679F" w:rsidRDefault="002C679F" w:rsidP="00B12983">
      <w:pPr>
        <w:pStyle w:val="ListParagraph"/>
        <w:numPr>
          <w:ilvl w:val="0"/>
          <w:numId w:val="1"/>
        </w:numPr>
        <w:ind w:left="0" w:firstLine="720"/>
      </w:pPr>
      <w:r>
        <w:t>March 4, 2020 – Crown Castle provides term sheet for master lease agreement</w:t>
      </w:r>
    </w:p>
    <w:p w14:paraId="07D547C5" w14:textId="7D99E417" w:rsidR="002C679F" w:rsidRDefault="002C679F" w:rsidP="00B12983">
      <w:pPr>
        <w:pStyle w:val="ListParagraph"/>
        <w:numPr>
          <w:ilvl w:val="0"/>
          <w:numId w:val="1"/>
        </w:numPr>
        <w:ind w:left="0" w:firstLine="720"/>
      </w:pPr>
      <w:r>
        <w:t>March 25, 2020 – ARK provides</w:t>
      </w:r>
      <w:r w:rsidR="00B575FF">
        <w:t xml:space="preserve"> Crown Castle with</w:t>
      </w:r>
      <w:r>
        <w:t xml:space="preserve"> list of stations needing tower sites</w:t>
      </w:r>
    </w:p>
    <w:p w14:paraId="5753F071" w14:textId="62C62877" w:rsidR="000472BE" w:rsidRDefault="000472BE" w:rsidP="00B12983">
      <w:pPr>
        <w:pStyle w:val="ListParagraph"/>
        <w:numPr>
          <w:ilvl w:val="0"/>
          <w:numId w:val="1"/>
        </w:numPr>
        <w:ind w:left="0" w:firstLine="720"/>
      </w:pPr>
      <w:r>
        <w:t xml:space="preserve">May 7, 2020 – </w:t>
      </w:r>
      <w:r w:rsidR="00747C01">
        <w:t xml:space="preserve">ARK receives third party site survey of tower site </w:t>
      </w:r>
      <w:r>
        <w:t>and identifies container building has small spaces which could be problematic</w:t>
      </w:r>
    </w:p>
    <w:p w14:paraId="5F20DE32" w14:textId="77777777" w:rsidR="00F922E9" w:rsidRDefault="00F922E9" w:rsidP="00F922E9">
      <w:pPr>
        <w:pStyle w:val="ListParagraph"/>
        <w:numPr>
          <w:ilvl w:val="0"/>
          <w:numId w:val="1"/>
        </w:numPr>
        <w:ind w:left="0" w:firstLine="720"/>
      </w:pPr>
      <w:r>
        <w:t>October 2, 2020 – ARK places order for antenna from Dielectric for original tower</w:t>
      </w:r>
    </w:p>
    <w:p w14:paraId="0AF90D71" w14:textId="77777777" w:rsidR="00F922E9" w:rsidRDefault="00F922E9" w:rsidP="00F922E9">
      <w:pPr>
        <w:pStyle w:val="ListParagraph"/>
        <w:numPr>
          <w:ilvl w:val="0"/>
          <w:numId w:val="1"/>
        </w:numPr>
        <w:ind w:left="0" w:firstLine="720"/>
      </w:pPr>
      <w:r>
        <w:t xml:space="preserve">December 18, 2020 – ARK places order for transmitter from Hitachi Comark with sales order </w:t>
      </w:r>
      <w:r w:rsidRPr="006531A1">
        <w:t>S0107</w:t>
      </w:r>
      <w:r>
        <w:t>11</w:t>
      </w:r>
    </w:p>
    <w:p w14:paraId="60229B2A" w14:textId="0C3E912C" w:rsidR="00565676" w:rsidRDefault="00565676" w:rsidP="00B12983">
      <w:pPr>
        <w:pStyle w:val="ListParagraph"/>
        <w:numPr>
          <w:ilvl w:val="0"/>
          <w:numId w:val="1"/>
        </w:numPr>
        <w:ind w:left="0" w:firstLine="720"/>
      </w:pPr>
      <w:r>
        <w:t xml:space="preserve">May 5, 2021 – Crown Castle provides </w:t>
      </w:r>
      <w:r w:rsidR="0054317D">
        <w:t xml:space="preserve">initial </w:t>
      </w:r>
      <w:r>
        <w:t xml:space="preserve">locations for ARK </w:t>
      </w:r>
      <w:r w:rsidR="00B575FF">
        <w:t xml:space="preserve">managed </w:t>
      </w:r>
      <w:r>
        <w:t>stations</w:t>
      </w:r>
    </w:p>
    <w:p w14:paraId="3B5831B9" w14:textId="1FB4BCB5" w:rsidR="0083082C" w:rsidRDefault="0083082C" w:rsidP="00B12983">
      <w:pPr>
        <w:pStyle w:val="ListParagraph"/>
        <w:numPr>
          <w:ilvl w:val="0"/>
          <w:numId w:val="1"/>
        </w:numPr>
        <w:ind w:left="0" w:firstLine="720"/>
      </w:pPr>
      <w:r>
        <w:t>May 6, 2021 – ATC provides strategic collocation agreement for consideration</w:t>
      </w:r>
    </w:p>
    <w:p w14:paraId="0E522882" w14:textId="37AFFBB6" w:rsidR="00565676" w:rsidRDefault="00565676" w:rsidP="00B12983">
      <w:pPr>
        <w:pStyle w:val="ListParagraph"/>
        <w:numPr>
          <w:ilvl w:val="0"/>
          <w:numId w:val="1"/>
        </w:numPr>
        <w:ind w:left="0" w:firstLine="720"/>
      </w:pPr>
      <w:r>
        <w:t xml:space="preserve">May 20, 2021 – </w:t>
      </w:r>
      <w:r w:rsidR="00B575FF">
        <w:t>ARK enters into f</w:t>
      </w:r>
      <w:r>
        <w:t>ully executed term sheet for MLA with Crown Castle</w:t>
      </w:r>
    </w:p>
    <w:p w14:paraId="670DA0C7" w14:textId="1A72C399" w:rsidR="00C155FD" w:rsidRDefault="00C155FD" w:rsidP="00B12983">
      <w:pPr>
        <w:pStyle w:val="ListParagraph"/>
        <w:numPr>
          <w:ilvl w:val="0"/>
          <w:numId w:val="1"/>
        </w:numPr>
        <w:ind w:left="0" w:firstLine="720"/>
      </w:pPr>
      <w:r>
        <w:t xml:space="preserve">May 28, 2021 – Crown Castle provides updated list of </w:t>
      </w:r>
      <w:r w:rsidR="0054317D">
        <w:t>locations with available RADs</w:t>
      </w:r>
    </w:p>
    <w:p w14:paraId="3FA49ED5" w14:textId="27264921" w:rsidR="0054317D" w:rsidRDefault="0054317D" w:rsidP="00B12983">
      <w:pPr>
        <w:pStyle w:val="ListParagraph"/>
        <w:numPr>
          <w:ilvl w:val="0"/>
          <w:numId w:val="1"/>
        </w:numPr>
        <w:ind w:left="0" w:firstLine="720"/>
      </w:pPr>
      <w:r>
        <w:t>July 21, 2021 – After engineering needs more info, Crown Castle provides a more complete list of locations</w:t>
      </w:r>
    </w:p>
    <w:p w14:paraId="644F9E5C" w14:textId="26E28FEA" w:rsidR="00B12983" w:rsidRDefault="002C679F" w:rsidP="00B12983">
      <w:pPr>
        <w:pStyle w:val="ListParagraph"/>
        <w:numPr>
          <w:ilvl w:val="0"/>
          <w:numId w:val="1"/>
        </w:numPr>
        <w:ind w:left="0" w:firstLine="720"/>
      </w:pPr>
      <w:r>
        <w:t xml:space="preserve">August 20, 2021 – Crown Castle </w:t>
      </w:r>
      <w:r w:rsidR="00B575FF">
        <w:t xml:space="preserve">informs ARK that Crown Castle does not intend to proceed with </w:t>
      </w:r>
      <w:r>
        <w:t>master lease agreement</w:t>
      </w:r>
    </w:p>
    <w:p w14:paraId="1B3F6DB9" w14:textId="311BC305" w:rsidR="00E271DA" w:rsidRDefault="00E271DA" w:rsidP="00B12983">
      <w:pPr>
        <w:pStyle w:val="ListParagraph"/>
        <w:numPr>
          <w:ilvl w:val="0"/>
          <w:numId w:val="1"/>
        </w:numPr>
        <w:ind w:left="0" w:firstLine="720"/>
      </w:pPr>
      <w:r>
        <w:t>October 7, 2021 – ARK begins deploying installers on ATC assets prior to fully executed agreement</w:t>
      </w:r>
    </w:p>
    <w:p w14:paraId="1AB30EB6" w14:textId="497DC842" w:rsidR="000472BE" w:rsidRDefault="000472BE" w:rsidP="00EA06B9">
      <w:pPr>
        <w:pStyle w:val="ListParagraph"/>
        <w:numPr>
          <w:ilvl w:val="0"/>
          <w:numId w:val="1"/>
        </w:numPr>
        <w:ind w:left="0" w:firstLine="720"/>
      </w:pPr>
      <w:r>
        <w:lastRenderedPageBreak/>
        <w:t xml:space="preserve">October 8, 2021 – ATC indicates how </w:t>
      </w:r>
      <w:r w:rsidR="00137625">
        <w:t>container space could work in meeting about an unrelated tower location</w:t>
      </w:r>
    </w:p>
    <w:p w14:paraId="60E3A4F0" w14:textId="30444018" w:rsidR="00EA06B9" w:rsidRDefault="00E271DA" w:rsidP="00801FC8">
      <w:pPr>
        <w:pStyle w:val="ListParagraph"/>
        <w:numPr>
          <w:ilvl w:val="0"/>
          <w:numId w:val="1"/>
        </w:numPr>
        <w:ind w:left="0" w:firstLine="720"/>
      </w:pPr>
      <w:r>
        <w:t>October 29, 2021 – ARK receives fully executed SCA from ATC</w:t>
      </w:r>
    </w:p>
    <w:p w14:paraId="6A7FF63F" w14:textId="5064B474" w:rsidR="00DB1D3E" w:rsidRDefault="00DB1D3E" w:rsidP="00AB7D4F">
      <w:pPr>
        <w:pStyle w:val="ListParagraph"/>
        <w:numPr>
          <w:ilvl w:val="0"/>
          <w:numId w:val="1"/>
        </w:numPr>
        <w:ind w:left="0" w:firstLine="720"/>
      </w:pPr>
      <w:r>
        <w:t>April 18, 2022 – It was determined that the existing building would in fact not work</w:t>
      </w:r>
    </w:p>
    <w:p w14:paraId="450451A9" w14:textId="3C526394" w:rsidR="00DB1D3E" w:rsidRDefault="00DB1D3E" w:rsidP="00AB7D4F">
      <w:pPr>
        <w:pStyle w:val="ListParagraph"/>
        <w:numPr>
          <w:ilvl w:val="0"/>
          <w:numId w:val="1"/>
        </w:numPr>
        <w:ind w:left="0" w:firstLine="720"/>
      </w:pPr>
      <w:r>
        <w:t>June 7, 2022 – Quote was provided for new shelter</w:t>
      </w:r>
    </w:p>
    <w:p w14:paraId="145027D7" w14:textId="77777777" w:rsidR="00F922E9" w:rsidRDefault="00F922E9" w:rsidP="00F922E9">
      <w:pPr>
        <w:pStyle w:val="ListParagraph"/>
        <w:numPr>
          <w:ilvl w:val="0"/>
          <w:numId w:val="1"/>
        </w:numPr>
        <w:ind w:left="0" w:firstLine="720"/>
      </w:pPr>
      <w:r>
        <w:t>August 15, 2022 – Final invoice &amp; purchase order for new building</w:t>
      </w:r>
    </w:p>
    <w:p w14:paraId="6B60FEF5" w14:textId="4C69CA09" w:rsidR="00AB7D4F" w:rsidRDefault="00801FC8" w:rsidP="00AB7D4F">
      <w:pPr>
        <w:pStyle w:val="ListParagraph"/>
        <w:numPr>
          <w:ilvl w:val="0"/>
          <w:numId w:val="1"/>
        </w:numPr>
        <w:ind w:left="0" w:firstLine="720"/>
      </w:pPr>
      <w:r>
        <w:t>August 24</w:t>
      </w:r>
      <w:r w:rsidR="00DD5663">
        <w:t xml:space="preserve">, 2022 – </w:t>
      </w:r>
      <w:r w:rsidR="00E0649E">
        <w:t xml:space="preserve">App </w:t>
      </w:r>
      <w:r w:rsidR="00DD5663">
        <w:t>approved by ATC</w:t>
      </w:r>
    </w:p>
    <w:p w14:paraId="77C42EA0" w14:textId="0EA4AA99" w:rsidR="00F922E9" w:rsidRDefault="00F922E9" w:rsidP="00F922E9">
      <w:pPr>
        <w:pStyle w:val="ListParagraph"/>
        <w:numPr>
          <w:ilvl w:val="0"/>
          <w:numId w:val="1"/>
        </w:numPr>
        <w:ind w:left="0" w:firstLine="720"/>
      </w:pPr>
      <w:r>
        <w:t xml:space="preserve">Current ATC project number is </w:t>
      </w:r>
      <w:r w:rsidRPr="00DD5663">
        <w:t>OAA77</w:t>
      </w:r>
      <w:r>
        <w:t>5830</w:t>
      </w:r>
    </w:p>
    <w:p w14:paraId="23278BC6" w14:textId="77777777" w:rsidR="00F922E9" w:rsidRPr="009913E1" w:rsidRDefault="00F922E9" w:rsidP="000311B5">
      <w:pPr>
        <w:pStyle w:val="ListParagraph"/>
      </w:pPr>
    </w:p>
    <w:p w14:paraId="520FDF6A" w14:textId="5C5FE3DA" w:rsidR="00E21ED9" w:rsidRPr="009913E1" w:rsidRDefault="003E0514" w:rsidP="000311B5">
      <w:pPr>
        <w:ind w:firstLine="720"/>
      </w:pPr>
      <w:r>
        <w:t xml:space="preserve">Between October of 2021 and June of 2022, ARK </w:t>
      </w:r>
      <w:r w:rsidR="00B575FF">
        <w:t xml:space="preserve">participated in </w:t>
      </w:r>
      <w:r>
        <w:t xml:space="preserve">weekly meetings </w:t>
      </w:r>
      <w:r w:rsidR="00B575FF">
        <w:t xml:space="preserve">with ATC to discuss construction efforts, including for </w:t>
      </w:r>
      <w:r>
        <w:t xml:space="preserve">this asset. That information helped ARK to work with a </w:t>
      </w:r>
      <w:r w:rsidR="00B575FF">
        <w:t>third-party</w:t>
      </w:r>
      <w:r>
        <w:t xml:space="preserve"> engineering firm to move amendments through the ATC online portal with the hired services of ATC to do so. </w:t>
      </w:r>
      <w:r w:rsidR="00651354">
        <w:t>ATC</w:t>
      </w:r>
      <w:r w:rsidR="00B12983" w:rsidRPr="009913E1">
        <w:t xml:space="preserve"> is continuing its efforts to expedite the project completion. Remaining steps include </w:t>
      </w:r>
      <w:r w:rsidR="00063055">
        <w:t xml:space="preserve">fully executed agreement inclusive of new building, </w:t>
      </w:r>
      <w:r w:rsidR="00801FC8">
        <w:t xml:space="preserve">structural engineering, </w:t>
      </w:r>
      <w:r w:rsidR="00AB7D4F">
        <w:t xml:space="preserve">approval from local municipality which will inform of potential requirements prior to </w:t>
      </w:r>
      <w:r w:rsidR="00B12983" w:rsidRPr="009913E1">
        <w:t xml:space="preserve">obtaining a Notice to Proceed from </w:t>
      </w:r>
      <w:r w:rsidR="00651354">
        <w:t>ATC</w:t>
      </w:r>
      <w:r w:rsidR="00B12983" w:rsidRPr="009913E1">
        <w:t xml:space="preserve">. </w:t>
      </w:r>
      <w:r w:rsidR="00AB7D4F">
        <w:t xml:space="preserve">Once zoning and permitting is approved, the tower crew, which has already agreed to complete the install, </w:t>
      </w:r>
      <w:r w:rsidR="00AB7D4F" w:rsidRPr="00F467F6">
        <w:t xml:space="preserve">will place this install on their calendar. </w:t>
      </w:r>
      <w:r w:rsidR="00B12983" w:rsidRPr="00F467F6">
        <w:t>Licensee</w:t>
      </w:r>
      <w:r w:rsidR="00B575FF" w:rsidRPr="00F467F6">
        <w:t xml:space="preserve"> is optimistic that ATC will be able to issue a Notice to Proceed </w:t>
      </w:r>
      <w:r w:rsidR="00B12983" w:rsidRPr="00F467F6">
        <w:t>by December 30, 2022, at</w:t>
      </w:r>
      <w:r w:rsidR="00B12983" w:rsidRPr="009913E1">
        <w:t xml:space="preserve"> which point Licensee will make all reasonable efforts to complete construction as quickly as possible.</w:t>
      </w:r>
      <w:r w:rsidR="00B575FF">
        <w:t xml:space="preserve"> But the time to obtain local approvals is outside Licensee’s control.</w:t>
      </w:r>
    </w:p>
    <w:p w14:paraId="78E575B0" w14:textId="787A382E" w:rsidR="00D82F74" w:rsidRDefault="0090661A" w:rsidP="0090661A">
      <w:r>
        <w:tab/>
      </w:r>
      <w:r w:rsidRPr="007368A0">
        <w:rPr>
          <w:color w:val="000000"/>
        </w:rPr>
        <w:t>Under the present circumstances, a further waiver of tolling and extension of the CP is justified. The Commission’s tolling provisions provide that a construction permit deadline may be tolled under specific circumstances such as acts of God, delays due to administrative or judicial review, or construction that is delayed by any cause of action pending before a court of competent jurisdiction relating to any necessary local, state, or federal requirement for the construction or operation of the station, including any zoning or environmental requirement.</w:t>
      </w:r>
      <w:r w:rsidRPr="007368A0">
        <w:rPr>
          <w:color w:val="000000"/>
          <w:vertAlign w:val="superscript"/>
        </w:rPr>
        <w:footnoteReference w:id="1"/>
      </w:r>
      <w:r w:rsidRPr="007368A0">
        <w:rPr>
          <w:color w:val="000000"/>
        </w:rPr>
        <w:t xml:space="preserve"> If a station does not qualify for tolling under these criteria, good cause may exist to waive the Commission’s tolling provisions and still toll the expiration of the Station’s construction permit where the station can demonstrate that “rare and exceptional circumstances” prevented construction.</w:t>
      </w:r>
      <w:r w:rsidRPr="007368A0">
        <w:rPr>
          <w:color w:val="000000"/>
          <w:vertAlign w:val="superscript"/>
        </w:rPr>
        <w:footnoteReference w:id="2"/>
      </w:r>
    </w:p>
    <w:p w14:paraId="5CEA66F6" w14:textId="1BC4F945" w:rsidR="0090661A" w:rsidRDefault="0090661A" w:rsidP="000026BD">
      <w:pPr>
        <w:ind w:firstLine="720"/>
        <w:jc w:val="both"/>
        <w:rPr>
          <w:rFonts w:cstheme="minorHAnsi"/>
        </w:rPr>
      </w:pPr>
      <w:r w:rsidRPr="007368A0">
        <w:rPr>
          <w:color w:val="000000"/>
        </w:rPr>
        <w:t>Tolling is appropriate here because</w:t>
      </w:r>
      <w:r>
        <w:rPr>
          <w:color w:val="000000"/>
        </w:rPr>
        <w:t xml:space="preserve"> the Licensee</w:t>
      </w:r>
      <w:r w:rsidRPr="007368A0">
        <w:rPr>
          <w:color w:val="000000"/>
        </w:rPr>
        <w:t xml:space="preserve">’s inability to complete construction of its </w:t>
      </w:r>
      <w:r>
        <w:rPr>
          <w:color w:val="000000"/>
        </w:rPr>
        <w:t>displacement facilities</w:t>
      </w:r>
      <w:r w:rsidRPr="007368A0">
        <w:rPr>
          <w:color w:val="000000"/>
        </w:rPr>
        <w:t xml:space="preserve"> for the Station is due to rare and exceptional circumstances beyond its control</w:t>
      </w:r>
      <w:r w:rsidRPr="007368A0">
        <w:rPr>
          <w:rFonts w:cstheme="minorHAnsi"/>
        </w:rPr>
        <w:t>.</w:t>
      </w:r>
      <w:r w:rsidRPr="007368A0">
        <w:rPr>
          <w:rStyle w:val="FootnoteReference"/>
          <w:rFonts w:cstheme="minorHAnsi"/>
        </w:rPr>
        <w:footnoteReference w:id="3"/>
      </w:r>
      <w:r w:rsidRPr="007368A0">
        <w:rPr>
          <w:rFonts w:cstheme="minorHAnsi"/>
        </w:rPr>
        <w:t xml:space="preserve"> The </w:t>
      </w:r>
      <w:r w:rsidR="000026BD">
        <w:rPr>
          <w:rFonts w:cstheme="minorHAnsi"/>
        </w:rPr>
        <w:t>Licensee</w:t>
      </w:r>
      <w:r w:rsidRPr="007368A0">
        <w:rPr>
          <w:rFonts w:cstheme="minorHAnsi"/>
        </w:rPr>
        <w:t xml:space="preserve"> </w:t>
      </w:r>
      <w:r w:rsidR="000026BD">
        <w:rPr>
          <w:rFonts w:cstheme="minorHAnsi"/>
        </w:rPr>
        <w:t>h</w:t>
      </w:r>
      <w:r w:rsidR="000026BD" w:rsidRPr="007368A0">
        <w:rPr>
          <w:rFonts w:cstheme="minorHAnsi"/>
        </w:rPr>
        <w:t>as</w:t>
      </w:r>
      <w:r w:rsidR="000026BD">
        <w:rPr>
          <w:rFonts w:cstheme="minorHAnsi"/>
        </w:rPr>
        <w:t xml:space="preserve"> taken all reasonable actions within its control to complete construction by the current </w:t>
      </w:r>
      <w:r w:rsidR="000026BD">
        <w:rPr>
          <w:rFonts w:cstheme="minorHAnsi"/>
        </w:rPr>
        <w:lastRenderedPageBreak/>
        <w:t xml:space="preserve">deadline. Specifically, the Licensee has procured all of the necessary equipment and has arranged for a crew to promptly install the equipment as soon as possible. However, as explained above, Licensee does not yet have all of the permissions and authorizations required to install its facilities at the transmission site. </w:t>
      </w:r>
      <w:r w:rsidRPr="007368A0">
        <w:rPr>
          <w:rFonts w:cstheme="minorHAnsi"/>
        </w:rPr>
        <w:t xml:space="preserve"> </w:t>
      </w:r>
      <w:r w:rsidR="000026BD">
        <w:rPr>
          <w:rFonts w:cstheme="minorHAnsi"/>
        </w:rPr>
        <w:t>Accordingly, further tolling is required.</w:t>
      </w:r>
    </w:p>
    <w:p w14:paraId="70218FEE" w14:textId="77777777" w:rsidR="004E7A0C" w:rsidRPr="004E7A0C" w:rsidRDefault="004E7A0C" w:rsidP="00356983">
      <w:pPr>
        <w:spacing w:after="0"/>
        <w:ind w:firstLine="720"/>
        <w:rPr>
          <w:rFonts w:cstheme="minorHAnsi"/>
        </w:rPr>
      </w:pPr>
      <w:r w:rsidRPr="004E7A0C">
        <w:rPr>
          <w:rFonts w:cstheme="minorHAnsi"/>
        </w:rPr>
        <w:t xml:space="preserve">In addition to granting further tolling, the Commission should also extend the deadline by which the Station must return to the air or forfeit its license pursuant to Section 312(g). Section 312(g) provides that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w:t>
      </w:r>
      <w:r w:rsidRPr="004E7A0C">
        <w:rPr>
          <w:rFonts w:cstheme="minorHAnsi"/>
          <w:i/>
        </w:rPr>
        <w:t>except that the Commission may extend or reinstate such station license</w:t>
      </w:r>
      <w:r w:rsidRPr="004E7A0C">
        <w:rPr>
          <w:rFonts w:cstheme="minorHAnsi"/>
        </w:rPr>
        <w:t xml:space="preserve"> if the holder of the station license prevails in an administrative or judicial appeal, the applicable law changes, </w:t>
      </w:r>
      <w:r w:rsidRPr="004E7A0C">
        <w:rPr>
          <w:rFonts w:cstheme="minorHAnsi"/>
          <w:i/>
          <w:iCs/>
        </w:rPr>
        <w:t>or for any other reason to promote equity and fairness</w:t>
      </w:r>
      <w:r w:rsidRPr="004E7A0C">
        <w:rPr>
          <w:rFonts w:cstheme="minorHAnsi"/>
        </w:rPr>
        <w:t xml:space="preserve">.” 47 U.S.C. § 312(g) (emphasis added). </w:t>
      </w:r>
    </w:p>
    <w:p w14:paraId="529BA155" w14:textId="77777777" w:rsidR="004E7A0C" w:rsidRPr="004E7A0C" w:rsidRDefault="004E7A0C" w:rsidP="00356983">
      <w:pPr>
        <w:spacing w:after="0"/>
        <w:ind w:firstLine="720"/>
        <w:rPr>
          <w:rFonts w:cstheme="minorHAnsi"/>
        </w:rPr>
      </w:pPr>
    </w:p>
    <w:p w14:paraId="37892E18" w14:textId="77777777" w:rsidR="004E7A0C" w:rsidRPr="004E7A0C" w:rsidRDefault="004E7A0C" w:rsidP="00356983">
      <w:pPr>
        <w:spacing w:after="0"/>
        <w:ind w:firstLine="720"/>
        <w:rPr>
          <w:rFonts w:cstheme="minorHAnsi"/>
        </w:rPr>
      </w:pPr>
      <w:r w:rsidRPr="004E7A0C">
        <w:rPr>
          <w:rFonts w:cstheme="minorHAnsi"/>
        </w:rPr>
        <w:t xml:space="preserve">In the </w:t>
      </w:r>
      <w:r w:rsidRPr="004E7A0C">
        <w:rPr>
          <w:rFonts w:cstheme="minorHAnsi"/>
          <w:i/>
        </w:rPr>
        <w:t>Incentive Auction Report and Order</w:t>
      </w:r>
      <w:r w:rsidRPr="004E7A0C">
        <w:rPr>
          <w:rFonts w:cstheme="minorHAnsi"/>
        </w:rPr>
        <w:t>, the Commission explained that it would be receptive to requests for waivers of Section 312(g) as a result of the repacking process, “tak[ing] into account the extent to which a station has been involuntarily forced to remain dark as a result of the repacking process and whether, in light of the facts presented, equity and fairness dictate a license extension or reinstatement and a waiver.”</w:t>
      </w:r>
      <w:r w:rsidRPr="004E7A0C">
        <w:rPr>
          <w:rFonts w:cstheme="minorHAnsi"/>
          <w:vertAlign w:val="superscript"/>
        </w:rPr>
        <w:footnoteReference w:id="4"/>
      </w:r>
      <w:r w:rsidRPr="004E7A0C">
        <w:rPr>
          <w:rFonts w:cstheme="minorHAnsi"/>
        </w:rPr>
        <w:t xml:space="preserve"> The Media Bureau expanded upon this position in the </w:t>
      </w:r>
      <w:r w:rsidRPr="004E7A0C">
        <w:rPr>
          <w:rFonts w:cstheme="minorHAnsi"/>
          <w:i/>
        </w:rPr>
        <w:t>Post-Incentive Auction Procedures Public Notice</w:t>
      </w:r>
      <w:r w:rsidRPr="004E7A0C">
        <w:rPr>
          <w:rFonts w:cstheme="minorHAnsi"/>
        </w:rPr>
        <w:t>, explaining that in considering requests for waiver of Section 312(g), it “will examine whether the station has demonstrated that its silence is the result of compelling reasons beyond the station’s control, including facts that relate to the post-auction transition process.”</w:t>
      </w:r>
      <w:r w:rsidRPr="004E7A0C">
        <w:rPr>
          <w:rFonts w:cstheme="minorHAnsi"/>
          <w:vertAlign w:val="superscript"/>
        </w:rPr>
        <w:footnoteReference w:id="5"/>
      </w:r>
      <w:r w:rsidRPr="004E7A0C">
        <w:rPr>
          <w:rFonts w:cstheme="minorHAnsi"/>
        </w:rPr>
        <w:t xml:space="preserve"> Finally, in the </w:t>
      </w:r>
      <w:r w:rsidRPr="004E7A0C">
        <w:rPr>
          <w:rFonts w:cstheme="minorHAnsi"/>
          <w:i/>
        </w:rPr>
        <w:t>Special Displacement Window Public Notice</w:t>
      </w:r>
      <w:r w:rsidRPr="004E7A0C">
        <w:rPr>
          <w:rFonts w:cstheme="minorHAnsi"/>
        </w:rPr>
        <w:t>, the Media Bureau explained that if an LPTV or TV translator station needed to remain silent for a consecutive 12-month period, the Bureau would “consider a request for extension or reinstatement pursuant to Section 312(g) of the Communications Act and a request for waiver of the Commission rule.”</w:t>
      </w:r>
      <w:r w:rsidRPr="004E7A0C">
        <w:rPr>
          <w:rFonts w:cstheme="minorHAnsi"/>
          <w:vertAlign w:val="superscript"/>
        </w:rPr>
        <w:footnoteReference w:id="6"/>
      </w:r>
    </w:p>
    <w:p w14:paraId="24BA1DFF" w14:textId="77777777" w:rsidR="004E7A0C" w:rsidRPr="004E7A0C" w:rsidRDefault="004E7A0C" w:rsidP="00356983">
      <w:pPr>
        <w:spacing w:after="0"/>
        <w:ind w:firstLine="720"/>
        <w:rPr>
          <w:rFonts w:cstheme="minorHAnsi"/>
        </w:rPr>
      </w:pPr>
    </w:p>
    <w:p w14:paraId="131D79DC" w14:textId="2BEE4DEA" w:rsidR="004E7A0C" w:rsidRDefault="004E7A0C" w:rsidP="00356983">
      <w:pPr>
        <w:spacing w:after="0"/>
        <w:ind w:firstLine="720"/>
        <w:rPr>
          <w:rFonts w:cstheme="minorHAnsi"/>
        </w:rPr>
      </w:pPr>
      <w:r w:rsidRPr="004E7A0C">
        <w:rPr>
          <w:rFonts w:cstheme="minorHAnsi"/>
        </w:rPr>
        <w:t xml:space="preserve">The Commission should grant the instant request for waiver because the Station’s silence is fully attributable to circumstances beyond its control both relating to and not relating to the post-Incentive Auction transition. The supply chain delays the Licensee faced were exacerbated by the post-incentive auction repack. Moreover, the </w:t>
      </w:r>
      <w:r w:rsidR="000026BD">
        <w:rPr>
          <w:rFonts w:cstheme="minorHAnsi"/>
        </w:rPr>
        <w:t xml:space="preserve">delays in </w:t>
      </w:r>
      <w:r w:rsidRPr="004E7A0C">
        <w:rPr>
          <w:rFonts w:cstheme="minorHAnsi"/>
        </w:rPr>
        <w:t>obtain</w:t>
      </w:r>
      <w:r w:rsidR="000026BD">
        <w:rPr>
          <w:rFonts w:cstheme="minorHAnsi"/>
        </w:rPr>
        <w:t>ing</w:t>
      </w:r>
      <w:r w:rsidRPr="004E7A0C">
        <w:rPr>
          <w:rFonts w:cstheme="minorHAnsi"/>
        </w:rPr>
        <w:t xml:space="preserve"> </w:t>
      </w:r>
      <w:r w:rsidR="000026BD">
        <w:rPr>
          <w:rFonts w:cstheme="minorHAnsi"/>
        </w:rPr>
        <w:t>site approvals and permissions are</w:t>
      </w:r>
      <w:r w:rsidRPr="004E7A0C">
        <w:rPr>
          <w:rFonts w:cstheme="minorHAnsi"/>
        </w:rPr>
        <w:t xml:space="preserve"> the equivalent of a zoning delay, which the Commission has routinely recognized as a valid basis for waiver of Section 312(g).</w:t>
      </w:r>
    </w:p>
    <w:p w14:paraId="33C9C021" w14:textId="77777777" w:rsidR="00356983" w:rsidRPr="004E7A0C" w:rsidRDefault="00356983" w:rsidP="00356983">
      <w:pPr>
        <w:spacing w:after="0"/>
        <w:ind w:firstLine="720"/>
        <w:rPr>
          <w:rFonts w:cstheme="minorHAnsi"/>
        </w:rPr>
      </w:pPr>
    </w:p>
    <w:p w14:paraId="4132A951" w14:textId="45D80398" w:rsidR="00D55547" w:rsidRDefault="0090661A" w:rsidP="00356983">
      <w:pPr>
        <w:spacing w:after="0"/>
        <w:ind w:firstLine="720"/>
      </w:pPr>
      <w:r w:rsidRPr="0090661A">
        <w:t xml:space="preserve">For the reasons stated above, the Commission should waive the tolling standard and provide Licensee until </w:t>
      </w:r>
      <w:r w:rsidR="009913E1">
        <w:t>March 6, 2023</w:t>
      </w:r>
      <w:r w:rsidRPr="0090661A">
        <w:t xml:space="preserve"> to complete construction and license its displacement facilities.</w:t>
      </w:r>
    </w:p>
    <w:sectPr w:rsidR="00D555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13FB" w14:textId="77777777" w:rsidR="00D054AE" w:rsidRDefault="00D054AE" w:rsidP="0084368E">
      <w:pPr>
        <w:spacing w:after="0" w:line="240" w:lineRule="auto"/>
      </w:pPr>
      <w:r>
        <w:separator/>
      </w:r>
    </w:p>
  </w:endnote>
  <w:endnote w:type="continuationSeparator" w:id="0">
    <w:p w14:paraId="550EC0E2" w14:textId="77777777" w:rsidR="00D054AE" w:rsidRDefault="00D054AE" w:rsidP="0084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AADD2" w14:textId="77777777" w:rsidR="00D054AE" w:rsidRDefault="00D054AE" w:rsidP="0084368E">
      <w:pPr>
        <w:spacing w:after="0" w:line="240" w:lineRule="auto"/>
      </w:pPr>
      <w:r>
        <w:separator/>
      </w:r>
    </w:p>
  </w:footnote>
  <w:footnote w:type="continuationSeparator" w:id="0">
    <w:p w14:paraId="386112E2" w14:textId="77777777" w:rsidR="00D054AE" w:rsidRDefault="00D054AE" w:rsidP="0084368E">
      <w:pPr>
        <w:spacing w:after="0" w:line="240" w:lineRule="auto"/>
      </w:pPr>
      <w:r>
        <w:continuationSeparator/>
      </w:r>
    </w:p>
  </w:footnote>
  <w:footnote w:id="1">
    <w:p w14:paraId="03CA319B" w14:textId="77777777" w:rsidR="0090661A" w:rsidRPr="009032B3" w:rsidRDefault="0090661A" w:rsidP="0090661A">
      <w:pPr>
        <w:pBdr>
          <w:top w:val="nil"/>
          <w:left w:val="nil"/>
          <w:bottom w:val="nil"/>
          <w:right w:val="nil"/>
          <w:between w:val="nil"/>
        </w:pBdr>
        <w:spacing w:after="120" w:line="240" w:lineRule="auto"/>
        <w:jc w:val="both"/>
        <w:rPr>
          <w:iCs/>
          <w:color w:val="000000"/>
          <w:sz w:val="20"/>
          <w:szCs w:val="20"/>
        </w:rPr>
      </w:pPr>
      <w:r w:rsidRPr="007368A0">
        <w:rPr>
          <w:rStyle w:val="FootnoteReference"/>
        </w:rPr>
        <w:footnoteRef/>
      </w:r>
      <w:r w:rsidRPr="007368A0">
        <w:rPr>
          <w:color w:val="000000"/>
          <w:sz w:val="20"/>
          <w:szCs w:val="20"/>
        </w:rPr>
        <w:t xml:space="preserve"> </w:t>
      </w:r>
      <w:r>
        <w:rPr>
          <w:iCs/>
          <w:color w:val="000000"/>
          <w:sz w:val="20"/>
          <w:szCs w:val="20"/>
        </w:rPr>
        <w:t xml:space="preserve">47 C.F.R. </w:t>
      </w:r>
      <w:r>
        <w:rPr>
          <w:rFonts w:cstheme="minorHAnsi"/>
          <w:iCs/>
          <w:color w:val="000000"/>
          <w:sz w:val="20"/>
          <w:szCs w:val="20"/>
        </w:rPr>
        <w:t>§</w:t>
      </w:r>
      <w:r>
        <w:rPr>
          <w:iCs/>
          <w:color w:val="000000"/>
          <w:sz w:val="20"/>
          <w:szCs w:val="20"/>
        </w:rPr>
        <w:t xml:space="preserve"> 73.3598.</w:t>
      </w:r>
    </w:p>
  </w:footnote>
  <w:footnote w:id="2">
    <w:p w14:paraId="7EDDB948" w14:textId="77777777" w:rsidR="0090661A" w:rsidRPr="007368A0" w:rsidRDefault="0090661A" w:rsidP="0090661A">
      <w:pPr>
        <w:pBdr>
          <w:top w:val="nil"/>
          <w:left w:val="nil"/>
          <w:bottom w:val="nil"/>
          <w:right w:val="nil"/>
          <w:between w:val="nil"/>
        </w:pBdr>
        <w:spacing w:after="120" w:line="240" w:lineRule="auto"/>
        <w:jc w:val="both"/>
        <w:rPr>
          <w:color w:val="000000"/>
          <w:sz w:val="20"/>
          <w:szCs w:val="20"/>
        </w:rPr>
      </w:pPr>
      <w:r w:rsidRPr="007368A0">
        <w:rPr>
          <w:rStyle w:val="FootnoteReference"/>
        </w:rPr>
        <w:footnoteRef/>
      </w:r>
      <w:r w:rsidRPr="007368A0">
        <w:rPr>
          <w:color w:val="000000"/>
          <w:sz w:val="20"/>
          <w:szCs w:val="20"/>
        </w:rPr>
        <w:t xml:space="preserve"> </w:t>
      </w:r>
      <w:r w:rsidRPr="007368A0">
        <w:rPr>
          <w:i/>
          <w:color w:val="000000"/>
          <w:sz w:val="20"/>
          <w:szCs w:val="20"/>
        </w:rPr>
        <w:t>See 1998 Biennial Regulatory Review -- Streamlining of Mass Media Applications, Rules, and Processes</w:t>
      </w:r>
      <w:r w:rsidRPr="007368A0">
        <w:rPr>
          <w:color w:val="000000"/>
          <w:sz w:val="20"/>
          <w:szCs w:val="20"/>
        </w:rPr>
        <w:t>, Memorandum Opinion and Order, 14 FCC Rcd. 17525 ¶ 42 (1999) (recognizing that there may be “rare and exceptional circumstances” beyond the control of the licensee that do not fall under the tolling provisions, but “which would warrant the tolling of construction time.”).</w:t>
      </w:r>
    </w:p>
  </w:footnote>
  <w:footnote w:id="3">
    <w:p w14:paraId="343B3495" w14:textId="77777777" w:rsidR="0090661A" w:rsidRPr="007368A0" w:rsidRDefault="0090661A" w:rsidP="0090661A">
      <w:pPr>
        <w:pStyle w:val="FootnoteText"/>
        <w:spacing w:after="120"/>
        <w:jc w:val="both"/>
      </w:pPr>
      <w:r w:rsidRPr="007368A0">
        <w:rPr>
          <w:rStyle w:val="FootnoteReference"/>
        </w:rPr>
        <w:footnoteRef/>
      </w:r>
      <w:r w:rsidRPr="007368A0">
        <w:t xml:space="preserve"> </w:t>
      </w:r>
      <w:r w:rsidRPr="007368A0">
        <w:rPr>
          <w:i/>
        </w:rPr>
        <w:t>See 1998 Biennial Regulatory Review -- Streamlining of Mass Media Applications, Rules, and Processes</w:t>
      </w:r>
      <w:r w:rsidRPr="007368A0">
        <w:t xml:space="preserve">, Memorandum Opinion and Order, 14 FCC Rcd. 17525 </w:t>
      </w:r>
      <w:r w:rsidRPr="007368A0">
        <w:rPr>
          <w:rFonts w:cs="Calibri"/>
        </w:rPr>
        <w:t>¶</w:t>
      </w:r>
      <w:r w:rsidRPr="007368A0">
        <w:t xml:space="preserve"> 42 (1999) (recognizing that there may be “rare and exceptional circumstances” beyond the control of the licensee that do not fall under the tolling provisions, but “which would warrant the tolling of construction time”).</w:t>
      </w:r>
    </w:p>
  </w:footnote>
  <w:footnote w:id="4">
    <w:p w14:paraId="6CD8A591" w14:textId="11A290F8" w:rsidR="004E7A0C" w:rsidRPr="007368A0" w:rsidRDefault="004E7A0C" w:rsidP="004E7A0C">
      <w:pPr>
        <w:pStyle w:val="FootnoteText"/>
        <w:spacing w:after="120"/>
      </w:pPr>
      <w:r w:rsidRPr="007368A0">
        <w:rPr>
          <w:rStyle w:val="FootnoteReference"/>
        </w:rPr>
        <w:footnoteRef/>
      </w:r>
      <w:r w:rsidRPr="007368A0">
        <w:t xml:space="preserve"> </w:t>
      </w:r>
      <w:r w:rsidRPr="007368A0">
        <w:rPr>
          <w:i/>
        </w:rPr>
        <w:t>Expanding the Economic and Innovation Opportunities of Spectrum Through Incentive Auctions</w:t>
      </w:r>
      <w:r w:rsidRPr="007368A0">
        <w:t xml:space="preserve">, Report and Order, 29 FCC Rcd 6567 </w:t>
      </w:r>
      <w:r w:rsidRPr="007368A0">
        <w:rPr>
          <w:rFonts w:cstheme="minorHAnsi"/>
        </w:rPr>
        <w:t>¶</w:t>
      </w:r>
      <w:r w:rsidRPr="007368A0">
        <w:t xml:space="preserve"> 585 (2014), </w:t>
      </w:r>
      <w:r w:rsidRPr="007368A0">
        <w:rPr>
          <w:i/>
        </w:rPr>
        <w:t>aff’d</w:t>
      </w:r>
      <w:r w:rsidRPr="007368A0">
        <w:t xml:space="preserve">, </w:t>
      </w:r>
      <w:r w:rsidRPr="007368A0">
        <w:rPr>
          <w:i/>
        </w:rPr>
        <w:t>Nat’l Assoc. of Broadcasters, et al v. FCC</w:t>
      </w:r>
      <w:r w:rsidRPr="007368A0">
        <w:t>, 789 F.3d 165 (D.C. Cir. 2015)</w:t>
      </w:r>
      <w:r w:rsidR="00356983">
        <w:t>.</w:t>
      </w:r>
    </w:p>
  </w:footnote>
  <w:footnote w:id="5">
    <w:p w14:paraId="4E5491CD" w14:textId="77777777" w:rsidR="004E7A0C" w:rsidRPr="007368A0" w:rsidRDefault="004E7A0C" w:rsidP="004E7A0C">
      <w:pPr>
        <w:pStyle w:val="FootnoteText"/>
        <w:spacing w:after="120"/>
      </w:pPr>
      <w:r w:rsidRPr="007368A0">
        <w:rPr>
          <w:rStyle w:val="FootnoteReference"/>
        </w:rPr>
        <w:footnoteRef/>
      </w:r>
      <w:r w:rsidRPr="007368A0">
        <w:t xml:space="preserve"> </w:t>
      </w:r>
      <w:r w:rsidRPr="007368A0">
        <w:rPr>
          <w:i/>
        </w:rPr>
        <w:t>Incentive Auction Task Force and Media Bureau Announce Procedures for the Post-Incentive Auction Broadcast Transition</w:t>
      </w:r>
      <w:r w:rsidRPr="007368A0">
        <w:t>, Public Notice, 32 FCC Rcd. 858</w:t>
      </w:r>
      <w:r w:rsidRPr="007368A0">
        <w:rPr>
          <w:i/>
        </w:rPr>
        <w:t xml:space="preserve"> </w:t>
      </w:r>
      <w:r w:rsidRPr="007368A0">
        <w:rPr>
          <w:rFonts w:cstheme="minorHAnsi"/>
        </w:rPr>
        <w:t>¶</w:t>
      </w:r>
      <w:r w:rsidRPr="007368A0">
        <w:t xml:space="preserve"> 49 (IATF/MB 2017).</w:t>
      </w:r>
    </w:p>
  </w:footnote>
  <w:footnote w:id="6">
    <w:p w14:paraId="1D6A557E" w14:textId="77777777" w:rsidR="004E7A0C" w:rsidRPr="007368A0" w:rsidRDefault="004E7A0C" w:rsidP="004E7A0C">
      <w:pPr>
        <w:pStyle w:val="FootnoteText"/>
        <w:spacing w:after="120"/>
      </w:pPr>
      <w:r w:rsidRPr="007368A0">
        <w:rPr>
          <w:rStyle w:val="FootnoteReference"/>
          <w:i/>
        </w:rPr>
        <w:footnoteRef/>
      </w:r>
      <w:r w:rsidRPr="007368A0">
        <w:rPr>
          <w:i/>
        </w:rPr>
        <w:t xml:space="preserve"> See Incentive Auction Task Force and Media Bureau Announce Post Incentive Auction Special Displacement Window April 10, 2018, Through May 15, 2018, and Make Location and Channel Data Available</w:t>
      </w:r>
      <w:r w:rsidRPr="007368A0">
        <w:t xml:space="preserve">, Public Notice, 33 FCC Red. 1234 </w:t>
      </w:r>
      <w:r w:rsidRPr="007368A0">
        <w:rPr>
          <w:rFonts w:cstheme="minorHAnsi"/>
        </w:rPr>
        <w:t>¶ 7 &amp; n.25</w:t>
      </w:r>
      <w:r w:rsidRPr="007368A0">
        <w:t xml:space="preserve"> (IATF/MB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BCEB" w14:textId="77777777" w:rsidR="0084368E" w:rsidRPr="0084368E" w:rsidRDefault="0084368E" w:rsidP="0084368E">
    <w:pPr>
      <w:pStyle w:val="Header"/>
      <w:jc w:val="right"/>
    </w:pPr>
    <w:r w:rsidRPr="0084368E">
      <w:t>Edge Spectrum, Inc.</w:t>
    </w:r>
  </w:p>
  <w:p w14:paraId="03EC60BE" w14:textId="27A688A4" w:rsidR="0084368E" w:rsidRDefault="00627B46" w:rsidP="006F2B17">
    <w:pPr>
      <w:pStyle w:val="Header"/>
      <w:jc w:val="right"/>
    </w:pPr>
    <w:r w:rsidRPr="0053116D">
      <w:t>K</w:t>
    </w:r>
    <w:r w:rsidR="003A5DAD">
      <w:t>39EO</w:t>
    </w:r>
    <w:r w:rsidRPr="0053116D">
      <w:t>-D</w:t>
    </w:r>
    <w:r>
      <w:t xml:space="preserve"> Facility ID </w:t>
    </w:r>
    <w:r w:rsidRPr="0053116D">
      <w:t>1</w:t>
    </w:r>
    <w:r w:rsidR="003A5DAD">
      <w:t>7401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0F4E"/>
    <w:multiLevelType w:val="hybridMultilevel"/>
    <w:tmpl w:val="CCE2A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0B"/>
    <w:rsid w:val="000026BD"/>
    <w:rsid w:val="000311B5"/>
    <w:rsid w:val="000472BE"/>
    <w:rsid w:val="00060A06"/>
    <w:rsid w:val="00062FB7"/>
    <w:rsid w:val="00063055"/>
    <w:rsid w:val="00100F79"/>
    <w:rsid w:val="00137625"/>
    <w:rsid w:val="00176CDC"/>
    <w:rsid w:val="001C370B"/>
    <w:rsid w:val="00295905"/>
    <w:rsid w:val="002C679F"/>
    <w:rsid w:val="00303364"/>
    <w:rsid w:val="00356983"/>
    <w:rsid w:val="00394BDE"/>
    <w:rsid w:val="003A5DAD"/>
    <w:rsid w:val="003A78E9"/>
    <w:rsid w:val="003B3AF7"/>
    <w:rsid w:val="003E0514"/>
    <w:rsid w:val="003F2B57"/>
    <w:rsid w:val="00415639"/>
    <w:rsid w:val="004E765F"/>
    <w:rsid w:val="004E7A0C"/>
    <w:rsid w:val="004F4B57"/>
    <w:rsid w:val="00541565"/>
    <w:rsid w:val="0054317D"/>
    <w:rsid w:val="00565676"/>
    <w:rsid w:val="005A1862"/>
    <w:rsid w:val="005D576B"/>
    <w:rsid w:val="005E7032"/>
    <w:rsid w:val="0060412E"/>
    <w:rsid w:val="00627B46"/>
    <w:rsid w:val="00651354"/>
    <w:rsid w:val="006531A1"/>
    <w:rsid w:val="00682639"/>
    <w:rsid w:val="006C555E"/>
    <w:rsid w:val="006F2B17"/>
    <w:rsid w:val="00747C01"/>
    <w:rsid w:val="00801FC8"/>
    <w:rsid w:val="0083082C"/>
    <w:rsid w:val="0084368E"/>
    <w:rsid w:val="009004D7"/>
    <w:rsid w:val="0090661A"/>
    <w:rsid w:val="009116FC"/>
    <w:rsid w:val="0096486D"/>
    <w:rsid w:val="009913E1"/>
    <w:rsid w:val="00A25CEF"/>
    <w:rsid w:val="00A93C10"/>
    <w:rsid w:val="00AA6E91"/>
    <w:rsid w:val="00AB7D4F"/>
    <w:rsid w:val="00AD2A1C"/>
    <w:rsid w:val="00B12983"/>
    <w:rsid w:val="00B35A14"/>
    <w:rsid w:val="00B575FF"/>
    <w:rsid w:val="00BD1F68"/>
    <w:rsid w:val="00BF083E"/>
    <w:rsid w:val="00C155FD"/>
    <w:rsid w:val="00D054AE"/>
    <w:rsid w:val="00D55547"/>
    <w:rsid w:val="00D82F74"/>
    <w:rsid w:val="00DB1D3E"/>
    <w:rsid w:val="00DD5663"/>
    <w:rsid w:val="00E0649E"/>
    <w:rsid w:val="00E21ED9"/>
    <w:rsid w:val="00E271DA"/>
    <w:rsid w:val="00E74CCE"/>
    <w:rsid w:val="00EA06B9"/>
    <w:rsid w:val="00EE63DF"/>
    <w:rsid w:val="00F467F6"/>
    <w:rsid w:val="00F546A4"/>
    <w:rsid w:val="00F60518"/>
    <w:rsid w:val="00F66FA0"/>
    <w:rsid w:val="00F922E9"/>
    <w:rsid w:val="00FA784C"/>
    <w:rsid w:val="00FF3A72"/>
    <w:rsid w:val="00FF67E1"/>
    <w:rsid w:val="00FF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ED35B"/>
  <w15:chartTrackingRefBased/>
  <w15:docId w15:val="{73B2B45D-36E3-419B-9BB2-EB40103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8E"/>
  </w:style>
  <w:style w:type="paragraph" w:styleId="Footer">
    <w:name w:val="footer"/>
    <w:basedOn w:val="Normal"/>
    <w:link w:val="FooterChar"/>
    <w:uiPriority w:val="99"/>
    <w:unhideWhenUsed/>
    <w:rsid w:val="0084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8E"/>
  </w:style>
  <w:style w:type="character" w:styleId="CommentReference">
    <w:name w:val="annotation reference"/>
    <w:basedOn w:val="DefaultParagraphFont"/>
    <w:uiPriority w:val="99"/>
    <w:semiHidden/>
    <w:unhideWhenUsed/>
    <w:rsid w:val="0090661A"/>
    <w:rPr>
      <w:sz w:val="16"/>
      <w:szCs w:val="16"/>
    </w:rPr>
  </w:style>
  <w:style w:type="paragraph" w:styleId="CommentText">
    <w:name w:val="annotation text"/>
    <w:basedOn w:val="Normal"/>
    <w:link w:val="CommentTextChar"/>
    <w:uiPriority w:val="99"/>
    <w:unhideWhenUsed/>
    <w:rsid w:val="0090661A"/>
    <w:pPr>
      <w:spacing w:line="240" w:lineRule="auto"/>
    </w:pPr>
    <w:rPr>
      <w:sz w:val="20"/>
      <w:szCs w:val="20"/>
    </w:rPr>
  </w:style>
  <w:style w:type="character" w:customStyle="1" w:styleId="CommentTextChar">
    <w:name w:val="Comment Text Char"/>
    <w:basedOn w:val="DefaultParagraphFont"/>
    <w:link w:val="CommentText"/>
    <w:uiPriority w:val="99"/>
    <w:rsid w:val="0090661A"/>
    <w:rPr>
      <w:sz w:val="20"/>
      <w:szCs w:val="20"/>
    </w:rPr>
  </w:style>
  <w:style w:type="paragraph" w:styleId="CommentSubject">
    <w:name w:val="annotation subject"/>
    <w:basedOn w:val="CommentText"/>
    <w:next w:val="CommentText"/>
    <w:link w:val="CommentSubjectChar"/>
    <w:uiPriority w:val="99"/>
    <w:semiHidden/>
    <w:unhideWhenUsed/>
    <w:rsid w:val="0090661A"/>
    <w:rPr>
      <w:b/>
      <w:bCs/>
    </w:rPr>
  </w:style>
  <w:style w:type="character" w:customStyle="1" w:styleId="CommentSubjectChar">
    <w:name w:val="Comment Subject Char"/>
    <w:basedOn w:val="CommentTextChar"/>
    <w:link w:val="CommentSubject"/>
    <w:uiPriority w:val="99"/>
    <w:semiHidden/>
    <w:rsid w:val="0090661A"/>
    <w:rPr>
      <w:b/>
      <w:bCs/>
      <w:sz w:val="20"/>
      <w:szCs w:val="20"/>
    </w:rPr>
  </w:style>
  <w:style w:type="character" w:styleId="FootnoteReference">
    <w:name w:val="footnote reference"/>
    <w:basedOn w:val="DefaultParagraphFont"/>
    <w:uiPriority w:val="99"/>
    <w:unhideWhenUsed/>
    <w:rsid w:val="0090661A"/>
    <w:rPr>
      <w:vertAlign w:val="superscript"/>
    </w:rPr>
  </w:style>
  <w:style w:type="paragraph" w:styleId="FootnoteText">
    <w:name w:val="footnote text"/>
    <w:basedOn w:val="Normal"/>
    <w:link w:val="FootnoteTextChar"/>
    <w:uiPriority w:val="99"/>
    <w:unhideWhenUsed/>
    <w:rsid w:val="0090661A"/>
    <w:pPr>
      <w:spacing w:after="0" w:line="240" w:lineRule="auto"/>
    </w:pPr>
    <w:rPr>
      <w:sz w:val="20"/>
      <w:szCs w:val="20"/>
    </w:rPr>
  </w:style>
  <w:style w:type="character" w:customStyle="1" w:styleId="FootnoteTextChar">
    <w:name w:val="Footnote Text Char"/>
    <w:basedOn w:val="DefaultParagraphFont"/>
    <w:link w:val="FootnoteText"/>
    <w:uiPriority w:val="99"/>
    <w:rsid w:val="0090661A"/>
    <w:rPr>
      <w:sz w:val="20"/>
      <w:szCs w:val="20"/>
    </w:rPr>
  </w:style>
  <w:style w:type="paragraph" w:styleId="ListParagraph">
    <w:name w:val="List Paragraph"/>
    <w:basedOn w:val="Normal"/>
    <w:uiPriority w:val="34"/>
    <w:qFormat/>
    <w:rsid w:val="00B12983"/>
    <w:pPr>
      <w:ind w:left="720"/>
      <w:contextualSpacing/>
    </w:pPr>
  </w:style>
  <w:style w:type="paragraph" w:styleId="Revision">
    <w:name w:val="Revision"/>
    <w:hidden/>
    <w:uiPriority w:val="99"/>
    <w:semiHidden/>
    <w:rsid w:val="00F46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81679">
      <w:bodyDiv w:val="1"/>
      <w:marLeft w:val="0"/>
      <w:marRight w:val="0"/>
      <w:marTop w:val="0"/>
      <w:marBottom w:val="0"/>
      <w:divBdr>
        <w:top w:val="none" w:sz="0" w:space="0" w:color="auto"/>
        <w:left w:val="none" w:sz="0" w:space="0" w:color="auto"/>
        <w:bottom w:val="none" w:sz="0" w:space="0" w:color="auto"/>
        <w:right w:val="none" w:sz="0" w:space="0" w:color="auto"/>
      </w:divBdr>
    </w:div>
    <w:div w:id="20040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8088</Characters>
  <Application>Microsoft Office Word</Application>
  <DocSecurity>0</DocSecurity>
  <Lines>323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Weiss</dc:creator>
  <cp:lastModifiedBy>Meltzer, Ari</cp:lastModifiedBy>
  <cp:revision>3</cp:revision>
  <dcterms:created xsi:type="dcterms:W3CDTF">2022-09-06T13:52:00Z</dcterms:created>
  <dcterms:modified xsi:type="dcterms:W3CDTF">2022-09-06T13:52:00Z</dcterms:modified>
</cp:coreProperties>
</file>