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E120" w14:textId="73C0E213" w:rsidR="00656A11" w:rsidRPr="00D63324" w:rsidRDefault="00D63324" w:rsidP="00D63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324">
        <w:rPr>
          <w:rFonts w:ascii="Times New Roman" w:hAnsi="Times New Roman" w:cs="Times New Roman"/>
          <w:b/>
          <w:bCs/>
          <w:sz w:val="24"/>
          <w:szCs w:val="24"/>
        </w:rPr>
        <w:t>TRINITY BROADCASTING NETWORKS</w:t>
      </w:r>
    </w:p>
    <w:p w14:paraId="49ADF9FF" w14:textId="1E34F66D" w:rsidR="00D63324" w:rsidRDefault="00D63324" w:rsidP="00D63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324">
        <w:rPr>
          <w:rFonts w:ascii="Times New Roman" w:hAnsi="Times New Roman" w:cs="Times New Roman"/>
          <w:b/>
          <w:bCs/>
          <w:sz w:val="24"/>
          <w:szCs w:val="24"/>
        </w:rPr>
        <w:t>CHILDREN’S TELEVISION REPORT</w:t>
      </w:r>
    </w:p>
    <w:p w14:paraId="70DE66B2" w14:textId="1F16B639" w:rsidR="00D63324" w:rsidRDefault="00D63324" w:rsidP="00D633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ADB49" w14:textId="06C30692" w:rsidR="00D63324" w:rsidRDefault="00D63324" w:rsidP="00D63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its main program stream, which, at a minimum, airs 36 hours of CORE Programming per quarter, Trinity Broadcasting Networks also airs at least 921.5 hours per year of Children’s programming on its SMILE multicast channel.</w:t>
      </w:r>
    </w:p>
    <w:p w14:paraId="4559706A" w14:textId="02DFCCDC" w:rsidR="00D63324" w:rsidRPr="00D63324" w:rsidRDefault="00D63324" w:rsidP="00D633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324" w:rsidRPr="00D6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24"/>
    <w:rsid w:val="00656A11"/>
    <w:rsid w:val="00D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854D"/>
  <w15:chartTrackingRefBased/>
  <w15:docId w15:val="{8913140C-E25D-47D1-8F0F-99C2FE5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1</cp:revision>
  <dcterms:created xsi:type="dcterms:W3CDTF">2021-02-01T21:51:00Z</dcterms:created>
  <dcterms:modified xsi:type="dcterms:W3CDTF">2021-02-01T21:57:00Z</dcterms:modified>
</cp:coreProperties>
</file>