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D3" w:rsidRDefault="005962D3" w:rsidP="005962D3">
      <w:pPr>
        <w:pStyle w:val="PlainText"/>
        <w:jc w:val="center"/>
        <w:rPr>
          <w:b/>
        </w:rPr>
      </w:pPr>
      <w:bookmarkStart w:id="0" w:name="_GoBack"/>
      <w:bookmarkEnd w:id="0"/>
      <w:r w:rsidRPr="005962D3">
        <w:rPr>
          <w:b/>
        </w:rPr>
        <w:t>Multiple Ownership Compliance</w:t>
      </w:r>
    </w:p>
    <w:p w:rsidR="005962D3" w:rsidRPr="005962D3" w:rsidRDefault="005962D3" w:rsidP="005962D3">
      <w:pPr>
        <w:pStyle w:val="PlainText"/>
        <w:jc w:val="center"/>
        <w:rPr>
          <w:b/>
        </w:rPr>
      </w:pPr>
    </w:p>
    <w:p w:rsidR="005962D3" w:rsidRDefault="005962D3" w:rsidP="005962D3">
      <w:pPr>
        <w:pStyle w:val="PlainText"/>
      </w:pPr>
      <w:r>
        <w:t>Per the FCC Media Bureau staff's advisement and instructions to the FCC Form 2100, submission of an exhibit providing information regarding compliance with 47 C.F.R. 73.3555(a) is not applicable.</w:t>
      </w:r>
    </w:p>
    <w:p w:rsidR="006C31D0" w:rsidRDefault="006C31D0"/>
    <w:sectPr w:rsidR="006C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3"/>
    <w:rsid w:val="00285DA6"/>
    <w:rsid w:val="003B3E6A"/>
    <w:rsid w:val="005962D3"/>
    <w:rsid w:val="006C31D0"/>
    <w:rsid w:val="00A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3A94-DC20-4DDA-870B-C938C22A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962D3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2D3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News Corporation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Scipio, Joseph</dc:creator>
  <cp:keywords/>
  <dc:description/>
  <cp:lastModifiedBy>Di Scipio, Joseph</cp:lastModifiedBy>
  <cp:revision>2</cp:revision>
  <dcterms:created xsi:type="dcterms:W3CDTF">2017-11-06T19:53:00Z</dcterms:created>
  <dcterms:modified xsi:type="dcterms:W3CDTF">2017-11-06T19:53:00Z</dcterms:modified>
</cp:coreProperties>
</file>